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2"/>
        <w:tblW w:w="0" w:type="auto"/>
        <w:tblLook w:val="04A0"/>
      </w:tblPr>
      <w:tblGrid>
        <w:gridCol w:w="3256"/>
        <w:gridCol w:w="7534"/>
      </w:tblGrid>
      <w:tr w:rsidR="00CB3154" w:rsidRPr="00C66165" w:rsidTr="00FF2C41">
        <w:tc>
          <w:tcPr>
            <w:tcW w:w="3256" w:type="dxa"/>
          </w:tcPr>
          <w:p w:rsidR="00CB3154" w:rsidRPr="00C66165" w:rsidRDefault="00A571C5" w:rsidP="005A68C7">
            <w:pPr>
              <w:pStyle w:val="Sinespaciado"/>
              <w:rPr>
                <w:rFonts w:ascii="Arial" w:hAnsi="Arial" w:cs="Arial"/>
                <w:b/>
                <w:sz w:val="24"/>
              </w:rPr>
            </w:pPr>
            <w:bookmarkStart w:id="0" w:name="_GoBack"/>
            <w:bookmarkEnd w:id="0"/>
            <w:r>
              <w:rPr>
                <w:noProof/>
                <w:lang w:eastAsia="es-GT"/>
              </w:rPr>
              <w:drawing>
                <wp:anchor distT="0" distB="0" distL="114300" distR="114300" simplePos="0" relativeHeight="251661312" behindDoc="1" locked="0" layoutInCell="1" allowOverlap="1">
                  <wp:simplePos x="0" y="0"/>
                  <wp:positionH relativeFrom="margin">
                    <wp:posOffset>-900</wp:posOffset>
                  </wp:positionH>
                  <wp:positionV relativeFrom="page">
                    <wp:posOffset>173990</wp:posOffset>
                  </wp:positionV>
                  <wp:extent cx="1930400" cy="4796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30400" cy="479675"/>
                          </a:xfrm>
                          <a:prstGeom prst="rect">
                            <a:avLst/>
                          </a:prstGeom>
                          <a:noFill/>
                          <a:ln>
                            <a:noFill/>
                          </a:ln>
                        </pic:spPr>
                      </pic:pic>
                    </a:graphicData>
                  </a:graphic>
                </wp:anchor>
              </w:drawing>
            </w:r>
          </w:p>
        </w:tc>
        <w:tc>
          <w:tcPr>
            <w:tcW w:w="7534" w:type="dxa"/>
            <w:vAlign w:val="center"/>
          </w:tcPr>
          <w:p w:rsidR="00CB3154" w:rsidRPr="0065559D" w:rsidRDefault="00CB3154" w:rsidP="005A68C7">
            <w:pPr>
              <w:pStyle w:val="Sinespaciado"/>
              <w:jc w:val="both"/>
              <w:rPr>
                <w:rFonts w:ascii="Arial" w:hAnsi="Arial" w:cs="Arial"/>
                <w:sz w:val="8"/>
                <w:szCs w:val="28"/>
              </w:rPr>
            </w:pPr>
          </w:p>
          <w:p w:rsidR="0065559D" w:rsidRDefault="0065559D" w:rsidP="0065559D">
            <w:pPr>
              <w:pStyle w:val="Sinespaciado"/>
              <w:jc w:val="center"/>
              <w:rPr>
                <w:rFonts w:ascii="Arial" w:hAnsi="Arial" w:cs="Arial"/>
                <w:b/>
                <w:sz w:val="28"/>
                <w:szCs w:val="28"/>
              </w:rPr>
            </w:pPr>
          </w:p>
          <w:p w:rsidR="0065559D" w:rsidRPr="00C66165" w:rsidRDefault="00CB3154" w:rsidP="0065559D">
            <w:pPr>
              <w:pStyle w:val="Sinespaciado"/>
              <w:jc w:val="center"/>
              <w:rPr>
                <w:rFonts w:ascii="Arial" w:hAnsi="Arial" w:cs="Arial"/>
                <w:sz w:val="20"/>
              </w:rPr>
            </w:pPr>
            <w:r w:rsidRPr="00021C20">
              <w:rPr>
                <w:rFonts w:ascii="Arial" w:hAnsi="Arial" w:cs="Arial"/>
                <w:b/>
                <w:sz w:val="28"/>
                <w:szCs w:val="28"/>
              </w:rPr>
              <w:t xml:space="preserve">INSTRUCTIVO </w:t>
            </w:r>
            <w:r>
              <w:rPr>
                <w:rFonts w:ascii="Arial" w:hAnsi="Arial" w:cs="Arial"/>
                <w:b/>
                <w:sz w:val="28"/>
                <w:szCs w:val="28"/>
              </w:rPr>
              <w:t>DE SOLICITUD DE GESTIÓN DE RADIACIONES NO IONIZANTES</w:t>
            </w:r>
          </w:p>
        </w:tc>
      </w:tr>
    </w:tbl>
    <w:tbl>
      <w:tblPr>
        <w:tblStyle w:val="Tablaconcuadrcula1"/>
        <w:tblW w:w="0" w:type="auto"/>
        <w:tblLook w:val="04A0"/>
      </w:tblPr>
      <w:tblGrid>
        <w:gridCol w:w="10790"/>
      </w:tblGrid>
      <w:tr w:rsidR="00CB3154" w:rsidRPr="00CB3154" w:rsidTr="005A68C7">
        <w:tc>
          <w:tcPr>
            <w:tcW w:w="10790" w:type="dxa"/>
          </w:tcPr>
          <w:p w:rsidR="00CB3154" w:rsidRPr="00CB3154" w:rsidRDefault="00CB3154" w:rsidP="00CB3154">
            <w:pPr>
              <w:jc w:val="both"/>
              <w:rPr>
                <w:rFonts w:ascii="Arial" w:hAnsi="Arial" w:cs="Arial"/>
                <w:sz w:val="20"/>
                <w:szCs w:val="18"/>
                <w:lang w:val="es-GT"/>
              </w:rPr>
            </w:pPr>
            <w:r w:rsidRPr="00CB3154">
              <w:rPr>
                <w:rFonts w:ascii="Arial" w:hAnsi="Arial" w:cs="Arial"/>
                <w:sz w:val="20"/>
                <w:szCs w:val="18"/>
                <w:lang w:val="es-GT"/>
              </w:rPr>
              <w:t xml:space="preserve">Para solicitar </w:t>
            </w:r>
            <w:r w:rsidR="00C963F1">
              <w:rPr>
                <w:rFonts w:ascii="Arial" w:hAnsi="Arial" w:cs="Arial"/>
                <w:sz w:val="20"/>
                <w:szCs w:val="18"/>
                <w:lang w:val="es-GT"/>
              </w:rPr>
              <w:t xml:space="preserve">gestión </w:t>
            </w:r>
            <w:r w:rsidRPr="00CB3154">
              <w:rPr>
                <w:rFonts w:ascii="Arial" w:hAnsi="Arial" w:cs="Arial"/>
                <w:sz w:val="20"/>
                <w:szCs w:val="18"/>
                <w:lang w:val="es-GT"/>
              </w:rPr>
              <w:t>se debe</w:t>
            </w:r>
            <w:r w:rsidR="00C963F1">
              <w:rPr>
                <w:rFonts w:ascii="Arial" w:hAnsi="Arial" w:cs="Arial"/>
                <w:sz w:val="20"/>
                <w:szCs w:val="18"/>
                <w:lang w:val="es-GT"/>
              </w:rPr>
              <w:t xml:space="preserve"> seguir con las </w:t>
            </w:r>
            <w:r w:rsidRPr="00CB3154">
              <w:rPr>
                <w:rFonts w:ascii="Arial" w:hAnsi="Arial" w:cs="Arial"/>
                <w:sz w:val="20"/>
                <w:szCs w:val="18"/>
                <w:lang w:val="es-GT"/>
              </w:rPr>
              <w:t>directrices que se presentan a continuación:</w:t>
            </w:r>
          </w:p>
          <w:p w:rsidR="00CB3154" w:rsidRPr="0065559D" w:rsidRDefault="00CB3154" w:rsidP="00CB3154">
            <w:pPr>
              <w:jc w:val="both"/>
              <w:rPr>
                <w:rFonts w:ascii="Arial" w:hAnsi="Arial" w:cs="Arial"/>
                <w:sz w:val="8"/>
                <w:szCs w:val="18"/>
                <w:lang w:val="es-GT"/>
              </w:rPr>
            </w:pPr>
          </w:p>
          <w:p w:rsidR="00CB3154" w:rsidRDefault="00CB3154" w:rsidP="00CB3154">
            <w:pPr>
              <w:numPr>
                <w:ilvl w:val="0"/>
                <w:numId w:val="2"/>
              </w:numPr>
              <w:ind w:left="360"/>
              <w:jc w:val="both"/>
              <w:rPr>
                <w:rFonts w:ascii="Arial" w:hAnsi="Arial" w:cs="Arial"/>
                <w:sz w:val="20"/>
                <w:szCs w:val="18"/>
                <w:lang w:val="es-GT"/>
              </w:rPr>
            </w:pPr>
            <w:r w:rsidRPr="00CB3154">
              <w:rPr>
                <w:rFonts w:ascii="Arial" w:hAnsi="Arial" w:cs="Arial"/>
                <w:sz w:val="20"/>
                <w:szCs w:val="18"/>
                <w:lang w:val="es-GT"/>
              </w:rPr>
              <w:t>Toda solicitud o gestión debe ser dirigida al Director General de Energía.</w:t>
            </w:r>
          </w:p>
          <w:p w:rsidR="00C963F1" w:rsidRDefault="00C963F1" w:rsidP="00C963F1">
            <w:pPr>
              <w:ind w:left="360"/>
              <w:jc w:val="both"/>
              <w:rPr>
                <w:rFonts w:ascii="Arial" w:hAnsi="Arial" w:cs="Arial"/>
                <w:sz w:val="20"/>
                <w:szCs w:val="18"/>
                <w:lang w:val="es-GT"/>
              </w:rPr>
            </w:pPr>
          </w:p>
          <w:p w:rsidR="002646A8" w:rsidRPr="00CB3154" w:rsidRDefault="002646A8" w:rsidP="00C963F1">
            <w:pPr>
              <w:numPr>
                <w:ilvl w:val="0"/>
                <w:numId w:val="2"/>
              </w:numPr>
              <w:ind w:left="360"/>
              <w:jc w:val="both"/>
              <w:rPr>
                <w:rFonts w:ascii="Arial" w:hAnsi="Arial" w:cs="Arial"/>
                <w:sz w:val="20"/>
                <w:szCs w:val="18"/>
                <w:lang w:val="es-GT"/>
              </w:rPr>
            </w:pPr>
            <w:r w:rsidRPr="00C963F1">
              <w:rPr>
                <w:rFonts w:ascii="Arial" w:hAnsi="Arial" w:cs="Arial"/>
                <w:sz w:val="20"/>
                <w:szCs w:val="18"/>
                <w:lang w:val="es-GT"/>
              </w:rPr>
              <w:t>Según lo establecido en el Artículo 3</w:t>
            </w:r>
            <w:r w:rsidR="00C963F1">
              <w:rPr>
                <w:rFonts w:ascii="Arial" w:hAnsi="Arial" w:cs="Arial"/>
                <w:sz w:val="20"/>
                <w:szCs w:val="18"/>
                <w:lang w:val="es-GT"/>
              </w:rPr>
              <w:t>,</w:t>
            </w:r>
            <w:r w:rsidRPr="00C963F1">
              <w:rPr>
                <w:rFonts w:ascii="Arial" w:hAnsi="Arial" w:cs="Arial"/>
                <w:sz w:val="20"/>
                <w:szCs w:val="18"/>
                <w:lang w:val="es-GT"/>
              </w:rPr>
              <w:t xml:space="preserve"> numeral 5 </w:t>
            </w:r>
            <w:r w:rsidR="00C963F1" w:rsidRPr="00C963F1">
              <w:rPr>
                <w:rFonts w:ascii="Arial" w:hAnsi="Arial" w:cs="Arial"/>
                <w:sz w:val="20"/>
                <w:szCs w:val="18"/>
                <w:lang w:val="es-GT"/>
              </w:rPr>
              <w:t>del Decreto Número 5-2021 Ley para la simplificación de requisitos y trámites administrativos</w:t>
            </w:r>
            <w:r w:rsidR="00C963F1">
              <w:rPr>
                <w:rFonts w:ascii="Arial" w:hAnsi="Arial" w:cs="Arial"/>
                <w:sz w:val="20"/>
                <w:szCs w:val="18"/>
                <w:lang w:val="es-GT"/>
              </w:rPr>
              <w:t xml:space="preserve">, se hace la indicación que </w:t>
            </w:r>
            <w:r w:rsidR="00C963F1" w:rsidRPr="00C963F1">
              <w:rPr>
                <w:rFonts w:ascii="Arial" w:hAnsi="Arial" w:cs="Arial"/>
                <w:i/>
                <w:sz w:val="20"/>
                <w:szCs w:val="18"/>
                <w:lang w:val="es-GT"/>
              </w:rPr>
              <w:t>“</w:t>
            </w:r>
            <w:r w:rsidRPr="00C963F1">
              <w:rPr>
                <w:rFonts w:ascii="Arial" w:hAnsi="Arial" w:cs="Arial"/>
                <w:i/>
                <w:sz w:val="20"/>
                <w:szCs w:val="18"/>
                <w:lang w:val="es-GT"/>
              </w:rPr>
              <w:t>…salvo prueba en contrario los documentos y declaraciones presentadas por los usuarios, en el marco de un trámite administrativo, se presumirán auténticos, sin perjuicio de las responsabilidades administrativas, civiles y penales que se puedan generar por falta de veracidad en lo declarado, presentado o informado.</w:t>
            </w:r>
            <w:r w:rsidRPr="00C963F1">
              <w:rPr>
                <w:rFonts w:ascii="Arial" w:hAnsi="Arial" w:cs="Arial"/>
                <w:sz w:val="20"/>
                <w:szCs w:val="18"/>
                <w:lang w:val="es-GT"/>
              </w:rPr>
              <w:t>”</w:t>
            </w:r>
          </w:p>
          <w:p w:rsidR="00CB3154" w:rsidRPr="00CB3154" w:rsidRDefault="00CB3154" w:rsidP="00CB3154">
            <w:pPr>
              <w:ind w:left="360"/>
              <w:jc w:val="both"/>
              <w:rPr>
                <w:rFonts w:ascii="Arial" w:hAnsi="Arial" w:cs="Arial"/>
                <w:sz w:val="20"/>
                <w:szCs w:val="18"/>
                <w:lang w:val="es-GT"/>
              </w:rPr>
            </w:pPr>
          </w:p>
          <w:p w:rsidR="00C963F1" w:rsidRPr="00C963F1" w:rsidRDefault="00C963F1" w:rsidP="00CB3154">
            <w:pPr>
              <w:numPr>
                <w:ilvl w:val="0"/>
                <w:numId w:val="2"/>
              </w:numPr>
              <w:ind w:left="360"/>
              <w:jc w:val="both"/>
              <w:rPr>
                <w:rFonts w:ascii="Arial" w:hAnsi="Arial" w:cs="Arial"/>
                <w:b/>
                <w:sz w:val="20"/>
                <w:szCs w:val="18"/>
              </w:rPr>
            </w:pPr>
            <w:r>
              <w:rPr>
                <w:rFonts w:ascii="Arial" w:hAnsi="Arial" w:cs="Arial"/>
                <w:sz w:val="20"/>
                <w:szCs w:val="18"/>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B15210">
              <w:rPr>
                <w:rFonts w:ascii="Arial" w:hAnsi="Arial" w:cs="Arial"/>
                <w:sz w:val="20"/>
                <w:szCs w:val="18"/>
              </w:rPr>
              <w:t>, los</w:t>
            </w:r>
            <w:r>
              <w:rPr>
                <w:rFonts w:ascii="Arial" w:hAnsi="Arial" w:cs="Arial"/>
                <w:sz w:val="20"/>
                <w:szCs w:val="18"/>
              </w:rPr>
              <w:t xml:space="preserve"> cuales se pueden presentar por medio de </w:t>
            </w:r>
            <w:r w:rsidR="003B6DE0">
              <w:rPr>
                <w:rFonts w:ascii="Arial" w:hAnsi="Arial" w:cs="Arial"/>
                <w:sz w:val="20"/>
                <w:szCs w:val="18"/>
              </w:rPr>
              <w:t>m</w:t>
            </w:r>
            <w:r>
              <w:rPr>
                <w:rFonts w:ascii="Arial" w:hAnsi="Arial" w:cs="Arial"/>
                <w:sz w:val="20"/>
                <w:szCs w:val="18"/>
              </w:rPr>
              <w:t>emoria USB</w:t>
            </w:r>
            <w:r w:rsidR="003B6DE0">
              <w:rPr>
                <w:rFonts w:ascii="Arial" w:hAnsi="Arial" w:cs="Arial"/>
                <w:sz w:val="20"/>
                <w:szCs w:val="18"/>
              </w:rPr>
              <w:t xml:space="preserve"> o formato digital, </w:t>
            </w:r>
            <w:r>
              <w:rPr>
                <w:rFonts w:ascii="Arial" w:hAnsi="Arial" w:cs="Arial"/>
                <w:sz w:val="20"/>
                <w:szCs w:val="18"/>
              </w:rPr>
              <w:t xml:space="preserve">o al correo electrónico: </w:t>
            </w:r>
            <w:hyperlink r:id="rId9" w:history="1">
              <w:r w:rsidRPr="002A4250">
                <w:rPr>
                  <w:rStyle w:val="Hipervnculo"/>
                  <w:rFonts w:ascii="Arial" w:hAnsi="Arial" w:cs="Arial"/>
                  <w:sz w:val="20"/>
                  <w:szCs w:val="18"/>
                </w:rPr>
                <w:t>dgedigitalprote@mem.gob.gt</w:t>
              </w:r>
            </w:hyperlink>
            <w:r>
              <w:rPr>
                <w:rFonts w:ascii="Arial" w:hAnsi="Arial" w:cs="Arial"/>
                <w:sz w:val="20"/>
                <w:szCs w:val="18"/>
              </w:rPr>
              <w:t xml:space="preserve"> </w:t>
            </w:r>
          </w:p>
          <w:p w:rsidR="00C963F1" w:rsidRDefault="00C963F1" w:rsidP="00C963F1">
            <w:pPr>
              <w:pStyle w:val="Prrafodelista"/>
              <w:rPr>
                <w:rFonts w:ascii="Arial" w:hAnsi="Arial" w:cs="Arial"/>
                <w:sz w:val="20"/>
                <w:szCs w:val="18"/>
              </w:rPr>
            </w:pPr>
          </w:p>
          <w:p w:rsidR="00CB3154" w:rsidRPr="00CB3154" w:rsidRDefault="00C963F1" w:rsidP="00CB3154">
            <w:pPr>
              <w:numPr>
                <w:ilvl w:val="0"/>
                <w:numId w:val="2"/>
              </w:numPr>
              <w:ind w:left="360"/>
              <w:jc w:val="both"/>
              <w:rPr>
                <w:rFonts w:ascii="Arial" w:hAnsi="Arial" w:cs="Arial"/>
                <w:b/>
                <w:sz w:val="20"/>
                <w:szCs w:val="18"/>
              </w:rPr>
            </w:pPr>
            <w:r>
              <w:rPr>
                <w:rFonts w:ascii="Arial" w:hAnsi="Arial" w:cs="Arial"/>
                <w:sz w:val="20"/>
                <w:szCs w:val="18"/>
              </w:rPr>
              <w:t>La</w:t>
            </w:r>
            <w:r w:rsidR="00CB3154" w:rsidRPr="00CB3154">
              <w:rPr>
                <w:rFonts w:ascii="Arial" w:hAnsi="Arial" w:cs="Arial"/>
                <w:sz w:val="20"/>
                <w:szCs w:val="18"/>
              </w:rPr>
              <w:t xml:space="preserve"> </w:t>
            </w:r>
            <w:r w:rsidR="00CB3154" w:rsidRPr="00CB3154">
              <w:rPr>
                <w:rFonts w:ascii="Arial" w:hAnsi="Arial" w:cs="Arial"/>
                <w:sz w:val="20"/>
                <w:szCs w:val="18"/>
                <w:lang w:val="es-GT"/>
              </w:rPr>
              <w:t xml:space="preserve">documentación </w:t>
            </w:r>
            <w:r>
              <w:rPr>
                <w:rFonts w:ascii="Arial" w:hAnsi="Arial" w:cs="Arial"/>
                <w:sz w:val="20"/>
                <w:szCs w:val="18"/>
                <w:lang w:val="es-GT"/>
              </w:rPr>
              <w:t xml:space="preserve">presentada en </w:t>
            </w:r>
            <w:r w:rsidR="00CB3154" w:rsidRPr="00CB3154">
              <w:rPr>
                <w:rFonts w:ascii="Arial" w:hAnsi="Arial" w:cs="Arial"/>
                <w:sz w:val="20"/>
                <w:szCs w:val="18"/>
                <w:lang w:val="es-GT"/>
              </w:rPr>
              <w:t>fotocopia debe ser LEGIBLE.</w:t>
            </w:r>
          </w:p>
          <w:p w:rsidR="00CB3154" w:rsidRPr="0065559D" w:rsidRDefault="00CB3154" w:rsidP="00CB3154">
            <w:pPr>
              <w:ind w:left="720"/>
              <w:contextualSpacing/>
              <w:rPr>
                <w:rFonts w:ascii="Arial" w:hAnsi="Arial" w:cs="Arial"/>
                <w:sz w:val="20"/>
                <w:szCs w:val="18"/>
                <w:lang w:val="es-GT"/>
              </w:rPr>
            </w:pPr>
          </w:p>
          <w:p w:rsidR="00CB3154" w:rsidRPr="0065559D" w:rsidRDefault="00CB3154" w:rsidP="00CB3154">
            <w:pPr>
              <w:numPr>
                <w:ilvl w:val="0"/>
                <w:numId w:val="2"/>
              </w:numPr>
              <w:ind w:left="360"/>
              <w:jc w:val="both"/>
              <w:rPr>
                <w:rFonts w:ascii="Arial" w:hAnsi="Arial" w:cs="Arial"/>
                <w:sz w:val="20"/>
                <w:szCs w:val="18"/>
                <w:lang w:val="es-GT"/>
              </w:rPr>
            </w:pPr>
            <w:r w:rsidRPr="0065559D">
              <w:rPr>
                <w:rFonts w:ascii="Arial" w:hAnsi="Arial" w:cs="Arial"/>
                <w:sz w:val="20"/>
                <w:szCs w:val="18"/>
                <w:lang w:val="es-GT"/>
              </w:rPr>
              <w:t>El nombre del solicitante en el formulario debe ser igual al que aparece en el DPI o Pasaporte, incluyendo detalles, como por ejemplo tildes.</w:t>
            </w:r>
          </w:p>
          <w:p w:rsidR="00CB3154" w:rsidRPr="00CB3154" w:rsidRDefault="00CB3154" w:rsidP="00CB3154">
            <w:pPr>
              <w:jc w:val="both"/>
              <w:rPr>
                <w:rFonts w:ascii="Arial" w:hAnsi="Arial" w:cs="Arial"/>
                <w:sz w:val="20"/>
                <w:szCs w:val="18"/>
                <w:lang w:val="es-GT"/>
              </w:rPr>
            </w:pPr>
          </w:p>
          <w:p w:rsidR="002646A8" w:rsidRPr="0065559D" w:rsidRDefault="002646A8" w:rsidP="00CB3154">
            <w:pPr>
              <w:numPr>
                <w:ilvl w:val="0"/>
                <w:numId w:val="2"/>
              </w:numPr>
              <w:ind w:left="360"/>
              <w:jc w:val="both"/>
              <w:rPr>
                <w:rFonts w:ascii="Arial" w:hAnsi="Arial" w:cs="Arial"/>
                <w:sz w:val="20"/>
                <w:szCs w:val="18"/>
                <w:lang w:val="es-GT"/>
              </w:rPr>
            </w:pPr>
            <w:r w:rsidRPr="0065559D">
              <w:rPr>
                <w:rFonts w:ascii="Arial" w:hAnsi="Arial" w:cs="Arial"/>
                <w:sz w:val="20"/>
                <w:szCs w:val="18"/>
                <w:lang w:val="es-GT"/>
              </w:rPr>
              <w:t xml:space="preserve">Para el caso de los expedientes presentados de forma física, </w:t>
            </w:r>
            <w:r w:rsidR="00CB3154" w:rsidRPr="0065559D">
              <w:rPr>
                <w:rFonts w:ascii="Arial" w:hAnsi="Arial" w:cs="Arial"/>
                <w:sz w:val="20"/>
                <w:szCs w:val="18"/>
                <w:lang w:val="es-GT"/>
              </w:rPr>
              <w:t>se recibe</w:t>
            </w:r>
            <w:r w:rsidRPr="0065559D">
              <w:rPr>
                <w:rFonts w:ascii="Arial" w:hAnsi="Arial" w:cs="Arial"/>
                <w:sz w:val="20"/>
                <w:szCs w:val="18"/>
                <w:lang w:val="es-GT"/>
              </w:rPr>
              <w:t>n</w:t>
            </w:r>
            <w:r w:rsidR="00CB3154" w:rsidRPr="0065559D">
              <w:rPr>
                <w:rFonts w:ascii="Arial" w:hAnsi="Arial" w:cs="Arial"/>
                <w:sz w:val="20"/>
                <w:szCs w:val="18"/>
                <w:lang w:val="es-GT"/>
              </w:rPr>
              <w:t xml:space="preserve"> en la ventanilla del Departamento de Gestión Legal (DGL) de la DGE, en folder con gancho, ordenado y foliado hoja por hoja, en el orden descrito en el presente instructivo, el cual también debe incluirse foliado al inicio del expediente, verificando que en la foliación no haya folios con hojas en blanco. </w:t>
            </w:r>
          </w:p>
          <w:p w:rsidR="002646A8" w:rsidRPr="0065559D" w:rsidRDefault="002646A8" w:rsidP="002646A8">
            <w:pPr>
              <w:pStyle w:val="Prrafodelista"/>
              <w:rPr>
                <w:rFonts w:ascii="Arial" w:hAnsi="Arial" w:cs="Arial"/>
                <w:sz w:val="20"/>
                <w:szCs w:val="18"/>
              </w:rPr>
            </w:pPr>
          </w:p>
          <w:p w:rsidR="00CB3154" w:rsidRPr="0065559D" w:rsidRDefault="00CB3154" w:rsidP="00CB3154">
            <w:pPr>
              <w:numPr>
                <w:ilvl w:val="0"/>
                <w:numId w:val="2"/>
              </w:numPr>
              <w:ind w:left="360"/>
              <w:jc w:val="both"/>
              <w:rPr>
                <w:rFonts w:ascii="Arial" w:hAnsi="Arial" w:cs="Arial"/>
                <w:sz w:val="20"/>
                <w:szCs w:val="18"/>
                <w:lang w:val="es-GT"/>
              </w:rPr>
            </w:pPr>
            <w:r w:rsidRPr="0065559D">
              <w:rPr>
                <w:rFonts w:ascii="Arial" w:hAnsi="Arial" w:cs="Arial"/>
                <w:sz w:val="20"/>
                <w:szCs w:val="18"/>
                <w:lang w:val="es-GT"/>
              </w:rPr>
              <w:t>El ingreso del expediente no implica la autorización de la solicitud requerida.</w:t>
            </w:r>
          </w:p>
          <w:p w:rsidR="0018702B" w:rsidRPr="0065559D" w:rsidRDefault="0018702B" w:rsidP="0018702B">
            <w:pPr>
              <w:pStyle w:val="Prrafodelista"/>
              <w:rPr>
                <w:rFonts w:ascii="Arial" w:hAnsi="Arial" w:cs="Arial"/>
                <w:sz w:val="20"/>
                <w:szCs w:val="18"/>
              </w:rPr>
            </w:pPr>
          </w:p>
          <w:p w:rsidR="0018702B" w:rsidRPr="0065559D" w:rsidRDefault="0018702B" w:rsidP="00CB3154">
            <w:pPr>
              <w:numPr>
                <w:ilvl w:val="0"/>
                <w:numId w:val="2"/>
              </w:numPr>
              <w:ind w:left="360"/>
              <w:jc w:val="both"/>
              <w:rPr>
                <w:rFonts w:ascii="Arial" w:hAnsi="Arial" w:cs="Arial"/>
                <w:sz w:val="20"/>
                <w:szCs w:val="18"/>
                <w:lang w:val="es-GT"/>
              </w:rPr>
            </w:pPr>
            <w:r w:rsidRPr="0018702B">
              <w:rPr>
                <w:rFonts w:ascii="Arial" w:hAnsi="Arial" w:cs="Arial"/>
                <w:bCs/>
                <w:sz w:val="20"/>
                <w:szCs w:val="18"/>
              </w:rPr>
              <w:t>La DGE podrá solicitar al interesado las aclaraciones que correspondan en virtud de la información presentada.</w:t>
            </w:r>
          </w:p>
          <w:p w:rsidR="00CB3154" w:rsidRPr="00CB3154" w:rsidRDefault="00CB3154" w:rsidP="00CB3154">
            <w:pPr>
              <w:jc w:val="both"/>
              <w:rPr>
                <w:rFonts w:ascii="Arial" w:hAnsi="Arial" w:cs="Arial"/>
                <w:sz w:val="20"/>
                <w:szCs w:val="18"/>
                <w:lang w:val="es-GT"/>
              </w:rPr>
            </w:pPr>
          </w:p>
          <w:p w:rsidR="0027719C" w:rsidRPr="0065559D" w:rsidRDefault="00CB3154" w:rsidP="00CB3154">
            <w:pPr>
              <w:numPr>
                <w:ilvl w:val="0"/>
                <w:numId w:val="2"/>
              </w:numPr>
              <w:ind w:left="360"/>
              <w:jc w:val="both"/>
              <w:rPr>
                <w:rFonts w:ascii="Arial" w:hAnsi="Arial" w:cs="Arial"/>
                <w:sz w:val="20"/>
                <w:szCs w:val="18"/>
                <w:lang w:val="es-GT"/>
              </w:rPr>
            </w:pPr>
            <w:r w:rsidRPr="00CB3154">
              <w:rPr>
                <w:rFonts w:ascii="Arial" w:hAnsi="Arial" w:cs="Arial"/>
                <w:sz w:val="20"/>
                <w:szCs w:val="18"/>
              </w:rPr>
              <w:t xml:space="preserve">En caso se presente un documento proveniente del extranjero, </w:t>
            </w:r>
            <w:r w:rsidR="0027719C">
              <w:rPr>
                <w:rFonts w:ascii="Arial" w:hAnsi="Arial" w:cs="Arial"/>
                <w:sz w:val="20"/>
                <w:szCs w:val="18"/>
              </w:rPr>
              <w:t xml:space="preserve">se </w:t>
            </w:r>
            <w:r w:rsidRPr="00CB3154">
              <w:rPr>
                <w:rFonts w:ascii="Arial" w:hAnsi="Arial" w:cs="Arial"/>
                <w:sz w:val="20"/>
                <w:szCs w:val="18"/>
              </w:rPr>
              <w:t xml:space="preserve">deberá atender lo dispuesto en el Artículo </w:t>
            </w:r>
            <w:r w:rsidR="00DF03C7">
              <w:rPr>
                <w:rFonts w:ascii="Arial" w:hAnsi="Arial" w:cs="Arial"/>
                <w:sz w:val="20"/>
                <w:szCs w:val="18"/>
              </w:rPr>
              <w:t>18 del Decreto Número 5-2021 Ley para la simplificación de requisitos y trámites administrativos</w:t>
            </w:r>
            <w:r w:rsidR="0027719C">
              <w:rPr>
                <w:rFonts w:ascii="Arial" w:hAnsi="Arial" w:cs="Arial"/>
                <w:sz w:val="20"/>
                <w:szCs w:val="18"/>
              </w:rPr>
              <w:t xml:space="preserve">, y </w:t>
            </w:r>
            <w:r w:rsidRPr="00CB3154">
              <w:rPr>
                <w:rFonts w:ascii="Arial" w:hAnsi="Arial" w:cs="Arial"/>
                <w:sz w:val="20"/>
                <w:szCs w:val="18"/>
              </w:rPr>
              <w:t>Decreto Número 1-20</w:t>
            </w:r>
            <w:r w:rsidR="0027719C">
              <w:rPr>
                <w:rFonts w:ascii="Arial" w:hAnsi="Arial" w:cs="Arial"/>
                <w:sz w:val="20"/>
                <w:szCs w:val="18"/>
              </w:rPr>
              <w:t>16, que aprueba el Convenio suprimiendo la exigencia de legalización de los documentos públicos extranjeros, hecho en La Haya el 5 de octubre de 1961.</w:t>
            </w:r>
          </w:p>
          <w:p w:rsidR="0027719C" w:rsidRPr="0065559D" w:rsidRDefault="0027719C" w:rsidP="0027719C">
            <w:pPr>
              <w:pStyle w:val="Prrafodelista"/>
              <w:rPr>
                <w:rFonts w:ascii="Arial" w:hAnsi="Arial" w:cs="Arial"/>
                <w:sz w:val="20"/>
                <w:szCs w:val="18"/>
              </w:rPr>
            </w:pPr>
          </w:p>
          <w:p w:rsidR="002646A8" w:rsidRDefault="002646A8" w:rsidP="00715676">
            <w:pPr>
              <w:pStyle w:val="Prrafodelista"/>
              <w:numPr>
                <w:ilvl w:val="0"/>
                <w:numId w:val="17"/>
              </w:numPr>
              <w:ind w:left="360"/>
              <w:jc w:val="both"/>
              <w:rPr>
                <w:rFonts w:ascii="Arial" w:hAnsi="Arial" w:cs="Arial"/>
                <w:sz w:val="20"/>
                <w:szCs w:val="18"/>
                <w:lang w:val="es-ES"/>
              </w:rPr>
            </w:pPr>
            <w:r w:rsidRPr="002646A8">
              <w:rPr>
                <w:rFonts w:ascii="Arial" w:hAnsi="Arial" w:cs="Arial"/>
                <w:sz w:val="20"/>
                <w:szCs w:val="18"/>
                <w:lang w:val="es-ES"/>
              </w:rPr>
              <w:t>El Convenio de la Haya se aplica a los documentos públicos que hayan sido autorizados en el territorio de un Estado contratante y que deban ser presentados en el territorio de otro Estado contratante.</w:t>
            </w:r>
          </w:p>
          <w:p w:rsidR="002646A8" w:rsidRPr="002646A8" w:rsidRDefault="002646A8" w:rsidP="002646A8">
            <w:pPr>
              <w:pStyle w:val="Prrafodelista"/>
              <w:ind w:left="360"/>
              <w:jc w:val="both"/>
              <w:rPr>
                <w:rFonts w:ascii="Arial" w:hAnsi="Arial" w:cs="Arial"/>
                <w:sz w:val="20"/>
                <w:szCs w:val="18"/>
                <w:lang w:val="es-ES"/>
              </w:rPr>
            </w:pPr>
          </w:p>
          <w:p w:rsidR="002646A8" w:rsidRDefault="002646A8" w:rsidP="002646A8">
            <w:pPr>
              <w:ind w:left="360"/>
              <w:jc w:val="both"/>
              <w:rPr>
                <w:rFonts w:ascii="Arial" w:hAnsi="Arial" w:cs="Arial"/>
                <w:sz w:val="20"/>
                <w:szCs w:val="18"/>
              </w:rPr>
            </w:pPr>
            <w:r w:rsidRPr="002646A8">
              <w:rPr>
                <w:rFonts w:ascii="Arial" w:hAnsi="Arial" w:cs="Arial"/>
                <w:sz w:val="20"/>
                <w:szCs w:val="18"/>
              </w:rPr>
              <w:t>Se considerarán como documentos públicos en el sentido del Convenio:</w:t>
            </w:r>
          </w:p>
          <w:p w:rsidR="002646A8" w:rsidRPr="002646A8" w:rsidRDefault="002646A8" w:rsidP="002646A8">
            <w:pPr>
              <w:ind w:left="360"/>
              <w:jc w:val="both"/>
              <w:rPr>
                <w:rFonts w:ascii="Arial" w:hAnsi="Arial" w:cs="Arial"/>
                <w:sz w:val="20"/>
                <w:szCs w:val="18"/>
              </w:rPr>
            </w:pPr>
          </w:p>
          <w:p w:rsidR="002646A8" w:rsidRPr="002646A8" w:rsidRDefault="002646A8" w:rsidP="002646A8">
            <w:pPr>
              <w:ind w:left="360"/>
              <w:jc w:val="both"/>
              <w:rPr>
                <w:rFonts w:ascii="Arial" w:hAnsi="Arial" w:cs="Arial"/>
                <w:sz w:val="20"/>
                <w:szCs w:val="18"/>
              </w:rPr>
            </w:pPr>
            <w:r w:rsidRPr="002646A8">
              <w:rPr>
                <w:rFonts w:ascii="Arial" w:hAnsi="Arial" w:cs="Arial"/>
                <w:sz w:val="20"/>
                <w:szCs w:val="18"/>
              </w:rPr>
              <w:t xml:space="preserve">a) </w:t>
            </w:r>
            <w:r>
              <w:rPr>
                <w:rFonts w:ascii="Arial" w:hAnsi="Arial" w:cs="Arial"/>
                <w:sz w:val="20"/>
                <w:szCs w:val="18"/>
              </w:rPr>
              <w:t>L</w:t>
            </w:r>
            <w:r w:rsidRPr="002646A8">
              <w:rPr>
                <w:rFonts w:ascii="Arial" w:hAnsi="Arial" w:cs="Arial"/>
                <w:sz w:val="20"/>
                <w:szCs w:val="18"/>
              </w:rPr>
              <w:t>os documentos dimanantes de una autoridad o funcionario vinculado a una jurisdicción del</w:t>
            </w:r>
            <w:r>
              <w:rPr>
                <w:rFonts w:ascii="Arial" w:hAnsi="Arial" w:cs="Arial"/>
                <w:sz w:val="20"/>
                <w:szCs w:val="18"/>
              </w:rPr>
              <w:t xml:space="preserve"> </w:t>
            </w:r>
            <w:r w:rsidRPr="002646A8">
              <w:rPr>
                <w:rFonts w:ascii="Arial" w:hAnsi="Arial" w:cs="Arial"/>
                <w:sz w:val="20"/>
                <w:szCs w:val="18"/>
              </w:rPr>
              <w:t>Estado, incluyendo los provenientes del ministerio público, o de un secretario, oficial o agente</w:t>
            </w:r>
            <w:r>
              <w:rPr>
                <w:rFonts w:ascii="Arial" w:hAnsi="Arial" w:cs="Arial"/>
                <w:sz w:val="20"/>
                <w:szCs w:val="18"/>
              </w:rPr>
              <w:t xml:space="preserve"> </w:t>
            </w:r>
            <w:r w:rsidRPr="002646A8">
              <w:rPr>
                <w:rFonts w:ascii="Arial" w:hAnsi="Arial" w:cs="Arial"/>
                <w:sz w:val="20"/>
                <w:szCs w:val="18"/>
              </w:rPr>
              <w:t>judicial;</w:t>
            </w:r>
          </w:p>
          <w:p w:rsidR="002646A8" w:rsidRPr="002646A8" w:rsidRDefault="002646A8" w:rsidP="002646A8">
            <w:pPr>
              <w:ind w:left="360"/>
              <w:jc w:val="both"/>
              <w:rPr>
                <w:rFonts w:ascii="Arial" w:hAnsi="Arial" w:cs="Arial"/>
                <w:sz w:val="20"/>
                <w:szCs w:val="18"/>
              </w:rPr>
            </w:pPr>
            <w:r w:rsidRPr="002646A8">
              <w:rPr>
                <w:rFonts w:ascii="Arial" w:hAnsi="Arial" w:cs="Arial"/>
                <w:sz w:val="20"/>
                <w:szCs w:val="18"/>
              </w:rPr>
              <w:t xml:space="preserve">b) </w:t>
            </w:r>
            <w:r>
              <w:rPr>
                <w:rFonts w:ascii="Arial" w:hAnsi="Arial" w:cs="Arial"/>
                <w:sz w:val="20"/>
                <w:szCs w:val="18"/>
              </w:rPr>
              <w:t>L</w:t>
            </w:r>
            <w:r w:rsidRPr="002646A8">
              <w:rPr>
                <w:rFonts w:ascii="Arial" w:hAnsi="Arial" w:cs="Arial"/>
                <w:sz w:val="20"/>
                <w:szCs w:val="18"/>
              </w:rPr>
              <w:t>os documentos administrativos;</w:t>
            </w:r>
          </w:p>
          <w:p w:rsidR="002646A8" w:rsidRPr="002646A8" w:rsidRDefault="002646A8" w:rsidP="002646A8">
            <w:pPr>
              <w:ind w:left="360"/>
              <w:jc w:val="both"/>
              <w:rPr>
                <w:rFonts w:ascii="Arial" w:hAnsi="Arial" w:cs="Arial"/>
                <w:sz w:val="20"/>
                <w:szCs w:val="18"/>
              </w:rPr>
            </w:pPr>
            <w:r w:rsidRPr="002646A8">
              <w:rPr>
                <w:rFonts w:ascii="Arial" w:hAnsi="Arial" w:cs="Arial"/>
                <w:sz w:val="20"/>
                <w:szCs w:val="18"/>
              </w:rPr>
              <w:t xml:space="preserve">c) </w:t>
            </w:r>
            <w:r>
              <w:rPr>
                <w:rFonts w:ascii="Arial" w:hAnsi="Arial" w:cs="Arial"/>
                <w:sz w:val="20"/>
                <w:szCs w:val="18"/>
              </w:rPr>
              <w:t>L</w:t>
            </w:r>
            <w:r w:rsidRPr="002646A8">
              <w:rPr>
                <w:rFonts w:ascii="Arial" w:hAnsi="Arial" w:cs="Arial"/>
                <w:sz w:val="20"/>
                <w:szCs w:val="18"/>
              </w:rPr>
              <w:t>os documentos notariales;</w:t>
            </w:r>
          </w:p>
          <w:p w:rsidR="002646A8" w:rsidRDefault="002646A8" w:rsidP="002646A8">
            <w:pPr>
              <w:ind w:left="360"/>
              <w:jc w:val="both"/>
              <w:rPr>
                <w:rFonts w:ascii="Arial" w:hAnsi="Arial" w:cs="Arial"/>
                <w:sz w:val="20"/>
                <w:szCs w:val="18"/>
              </w:rPr>
            </w:pPr>
            <w:r w:rsidRPr="002646A8">
              <w:rPr>
                <w:rFonts w:ascii="Arial" w:hAnsi="Arial" w:cs="Arial"/>
                <w:sz w:val="20"/>
                <w:szCs w:val="18"/>
              </w:rPr>
              <w:t>d)</w:t>
            </w:r>
            <w:r>
              <w:rPr>
                <w:rFonts w:ascii="Arial" w:hAnsi="Arial" w:cs="Arial"/>
                <w:sz w:val="20"/>
                <w:szCs w:val="18"/>
              </w:rPr>
              <w:t xml:space="preserve"> L</w:t>
            </w:r>
            <w:r w:rsidRPr="002646A8">
              <w:rPr>
                <w:rFonts w:ascii="Arial" w:hAnsi="Arial" w:cs="Arial"/>
                <w:sz w:val="20"/>
                <w:szCs w:val="18"/>
              </w:rPr>
              <w:t>as certificaciones oficiales que hayan sido puestas sobre documentos privados, tales como</w:t>
            </w:r>
            <w:r>
              <w:rPr>
                <w:rFonts w:ascii="Arial" w:hAnsi="Arial" w:cs="Arial"/>
                <w:sz w:val="20"/>
                <w:szCs w:val="18"/>
              </w:rPr>
              <w:t xml:space="preserve"> </w:t>
            </w:r>
            <w:r w:rsidRPr="002646A8">
              <w:rPr>
                <w:rFonts w:ascii="Arial" w:hAnsi="Arial" w:cs="Arial"/>
                <w:sz w:val="20"/>
                <w:szCs w:val="18"/>
              </w:rPr>
              <w:t>menciones de registro, comprobaciones sobre la certeza de una fecha y autenticaciones de</w:t>
            </w:r>
            <w:r>
              <w:rPr>
                <w:rFonts w:ascii="Arial" w:hAnsi="Arial" w:cs="Arial"/>
                <w:sz w:val="20"/>
                <w:szCs w:val="18"/>
              </w:rPr>
              <w:t xml:space="preserve"> </w:t>
            </w:r>
            <w:r w:rsidRPr="002646A8">
              <w:rPr>
                <w:rFonts w:ascii="Arial" w:hAnsi="Arial" w:cs="Arial"/>
                <w:sz w:val="20"/>
                <w:szCs w:val="18"/>
              </w:rPr>
              <w:t>firmas.</w:t>
            </w:r>
          </w:p>
          <w:p w:rsidR="002646A8" w:rsidRPr="002646A8" w:rsidRDefault="002646A8" w:rsidP="002646A8">
            <w:pPr>
              <w:jc w:val="both"/>
              <w:rPr>
                <w:rFonts w:ascii="Arial" w:hAnsi="Arial" w:cs="Arial"/>
                <w:sz w:val="20"/>
                <w:szCs w:val="18"/>
              </w:rPr>
            </w:pPr>
          </w:p>
          <w:p w:rsidR="002646A8" w:rsidRPr="002646A8" w:rsidRDefault="002646A8" w:rsidP="002646A8">
            <w:pPr>
              <w:pStyle w:val="Prrafodelista"/>
              <w:numPr>
                <w:ilvl w:val="0"/>
                <w:numId w:val="17"/>
              </w:numPr>
              <w:ind w:left="360"/>
              <w:jc w:val="both"/>
              <w:rPr>
                <w:rFonts w:ascii="Arial" w:hAnsi="Arial" w:cs="Arial"/>
                <w:sz w:val="20"/>
                <w:szCs w:val="18"/>
                <w:lang w:val="es-ES"/>
              </w:rPr>
            </w:pPr>
            <w:r w:rsidRPr="002646A8">
              <w:rPr>
                <w:rFonts w:ascii="Arial" w:hAnsi="Arial" w:cs="Arial"/>
                <w:sz w:val="20"/>
                <w:szCs w:val="18"/>
                <w:lang w:val="es-ES"/>
              </w:rPr>
              <w:t>El Convenio no se aplica a:</w:t>
            </w:r>
          </w:p>
          <w:p w:rsidR="002646A8" w:rsidRPr="002646A8" w:rsidRDefault="002646A8" w:rsidP="002646A8">
            <w:pPr>
              <w:ind w:left="360"/>
              <w:jc w:val="both"/>
              <w:rPr>
                <w:rFonts w:ascii="Arial" w:hAnsi="Arial" w:cs="Arial"/>
                <w:sz w:val="20"/>
                <w:szCs w:val="18"/>
              </w:rPr>
            </w:pPr>
          </w:p>
          <w:p w:rsidR="002646A8" w:rsidRPr="002646A8" w:rsidRDefault="002646A8" w:rsidP="002646A8">
            <w:pPr>
              <w:ind w:left="360"/>
              <w:jc w:val="both"/>
              <w:rPr>
                <w:rFonts w:ascii="Arial" w:hAnsi="Arial" w:cs="Arial"/>
                <w:sz w:val="20"/>
                <w:szCs w:val="18"/>
              </w:rPr>
            </w:pPr>
            <w:r w:rsidRPr="002646A8">
              <w:rPr>
                <w:rFonts w:ascii="Arial" w:hAnsi="Arial" w:cs="Arial"/>
                <w:sz w:val="20"/>
                <w:szCs w:val="18"/>
              </w:rPr>
              <w:t xml:space="preserve">a) </w:t>
            </w:r>
            <w:r>
              <w:rPr>
                <w:rFonts w:ascii="Arial" w:hAnsi="Arial" w:cs="Arial"/>
                <w:sz w:val="20"/>
                <w:szCs w:val="18"/>
              </w:rPr>
              <w:t>L</w:t>
            </w:r>
            <w:r w:rsidRPr="002646A8">
              <w:rPr>
                <w:rFonts w:ascii="Arial" w:hAnsi="Arial" w:cs="Arial"/>
                <w:sz w:val="20"/>
                <w:szCs w:val="18"/>
              </w:rPr>
              <w:t>os documentos expedidos por agentes diplomáticos o consulares;</w:t>
            </w:r>
          </w:p>
          <w:p w:rsidR="0027719C" w:rsidRPr="002646A8" w:rsidRDefault="002646A8" w:rsidP="002646A8">
            <w:pPr>
              <w:ind w:left="360"/>
              <w:jc w:val="both"/>
              <w:rPr>
                <w:rFonts w:ascii="Arial" w:hAnsi="Arial" w:cs="Arial"/>
                <w:sz w:val="20"/>
                <w:szCs w:val="18"/>
              </w:rPr>
            </w:pPr>
            <w:r w:rsidRPr="002646A8">
              <w:rPr>
                <w:rFonts w:ascii="Arial" w:hAnsi="Arial" w:cs="Arial"/>
                <w:sz w:val="20"/>
                <w:szCs w:val="18"/>
              </w:rPr>
              <w:t xml:space="preserve">b) </w:t>
            </w:r>
            <w:r>
              <w:rPr>
                <w:rFonts w:ascii="Arial" w:hAnsi="Arial" w:cs="Arial"/>
                <w:sz w:val="20"/>
                <w:szCs w:val="18"/>
              </w:rPr>
              <w:t>Los</w:t>
            </w:r>
            <w:r w:rsidRPr="002646A8">
              <w:rPr>
                <w:rFonts w:ascii="Arial" w:hAnsi="Arial" w:cs="Arial"/>
                <w:sz w:val="20"/>
                <w:szCs w:val="18"/>
              </w:rPr>
              <w:t xml:space="preserve"> documentos administrativos que se refieran directamente a una operación mercantil o</w:t>
            </w:r>
            <w:r>
              <w:rPr>
                <w:rFonts w:ascii="Arial" w:hAnsi="Arial" w:cs="Arial"/>
                <w:sz w:val="20"/>
                <w:szCs w:val="18"/>
              </w:rPr>
              <w:t xml:space="preserve"> </w:t>
            </w:r>
            <w:r w:rsidRPr="002646A8">
              <w:rPr>
                <w:rFonts w:ascii="Arial" w:hAnsi="Arial" w:cs="Arial"/>
                <w:sz w:val="20"/>
                <w:szCs w:val="18"/>
              </w:rPr>
              <w:t>aduanera.</w:t>
            </w:r>
          </w:p>
          <w:p w:rsidR="0027719C" w:rsidRDefault="0027719C" w:rsidP="0027719C">
            <w:pPr>
              <w:pStyle w:val="Prrafodelista"/>
              <w:rPr>
                <w:rFonts w:ascii="Arial" w:hAnsi="Arial" w:cs="Arial"/>
                <w:sz w:val="20"/>
                <w:szCs w:val="18"/>
              </w:rPr>
            </w:pPr>
          </w:p>
          <w:p w:rsidR="00CB3154" w:rsidRPr="0065559D" w:rsidRDefault="0027719C" w:rsidP="00CB3154">
            <w:pPr>
              <w:numPr>
                <w:ilvl w:val="0"/>
                <w:numId w:val="2"/>
              </w:numPr>
              <w:ind w:left="360"/>
              <w:jc w:val="both"/>
              <w:rPr>
                <w:rFonts w:ascii="Arial" w:hAnsi="Arial" w:cs="Arial"/>
                <w:sz w:val="20"/>
                <w:szCs w:val="18"/>
                <w:lang w:val="es-GT"/>
              </w:rPr>
            </w:pPr>
            <w:r>
              <w:rPr>
                <w:rFonts w:ascii="Arial" w:hAnsi="Arial" w:cs="Arial"/>
                <w:sz w:val="20"/>
                <w:szCs w:val="18"/>
              </w:rPr>
              <w:t>Para documentos en idioma extranjero, se deberá atender lo dispuesto en los Artículos 11 y 37 del Decreto 2-89 Ley del Organismo Judicial.</w:t>
            </w:r>
            <w:r w:rsidR="00CB3154" w:rsidRPr="00CB3154">
              <w:rPr>
                <w:rFonts w:ascii="Arial" w:hAnsi="Arial" w:cs="Arial"/>
                <w:sz w:val="20"/>
                <w:szCs w:val="18"/>
              </w:rPr>
              <w:t> </w:t>
            </w:r>
          </w:p>
          <w:p w:rsidR="00CB3154" w:rsidRPr="0065559D" w:rsidRDefault="00CB3154" w:rsidP="00CB3154">
            <w:pPr>
              <w:ind w:left="720"/>
              <w:contextualSpacing/>
              <w:rPr>
                <w:rFonts w:ascii="Arial" w:hAnsi="Arial" w:cs="Arial"/>
                <w:sz w:val="20"/>
                <w:szCs w:val="18"/>
                <w:lang w:val="es-GT"/>
              </w:rPr>
            </w:pPr>
          </w:p>
          <w:p w:rsidR="00CB3154" w:rsidRPr="00CB3154" w:rsidRDefault="00CB3154" w:rsidP="00CB3154">
            <w:pPr>
              <w:ind w:firstLine="360"/>
              <w:jc w:val="both"/>
              <w:rPr>
                <w:rFonts w:ascii="Arial" w:hAnsi="Arial" w:cs="Arial"/>
                <w:b/>
                <w:sz w:val="20"/>
                <w:szCs w:val="20"/>
                <w:lang w:val="es-GT"/>
              </w:rPr>
            </w:pPr>
            <w:r w:rsidRPr="00CB3154">
              <w:rPr>
                <w:rFonts w:ascii="Arial" w:hAnsi="Arial" w:cs="Arial"/>
                <w:b/>
                <w:sz w:val="20"/>
                <w:szCs w:val="20"/>
                <w:lang w:val="es-GT"/>
              </w:rPr>
              <w:t xml:space="preserve">Información adicional </w:t>
            </w:r>
          </w:p>
          <w:p w:rsidR="00CB3154" w:rsidRPr="0065559D" w:rsidRDefault="00CB3154" w:rsidP="00CB3154">
            <w:pPr>
              <w:numPr>
                <w:ilvl w:val="0"/>
                <w:numId w:val="16"/>
              </w:numPr>
              <w:ind w:left="360"/>
              <w:jc w:val="both"/>
              <w:rPr>
                <w:rFonts w:ascii="Arial" w:hAnsi="Arial" w:cs="Arial"/>
                <w:sz w:val="20"/>
                <w:szCs w:val="20"/>
                <w:lang w:val="es-GT"/>
              </w:rPr>
            </w:pPr>
            <w:r w:rsidRPr="0065559D">
              <w:rPr>
                <w:rFonts w:ascii="Arial" w:hAnsi="Arial" w:cs="Arial"/>
                <w:sz w:val="20"/>
                <w:szCs w:val="20"/>
                <w:lang w:val="es-GT"/>
              </w:rPr>
              <w:t>La DGE no refiere o recomienda a ninguna persona o entidad para la prestación de servicios que el usuario requiera, tampoco reconoce o autoriza a gestores o intermediarios, no otorga autorizaciones a disertantes individuales para impartir cursos en radiaciones no ionizantes, ni autoriza a terceros para que, en nombre de los usuarios, elaboren la documentación que deben presentar para la obtención de sus autorizaciones.</w:t>
            </w:r>
          </w:p>
          <w:p w:rsidR="00A571C5" w:rsidRPr="0065559D" w:rsidRDefault="00A571C5" w:rsidP="00A571C5">
            <w:pPr>
              <w:ind w:left="360"/>
              <w:jc w:val="both"/>
              <w:rPr>
                <w:rFonts w:ascii="Arial" w:hAnsi="Arial" w:cs="Arial"/>
                <w:sz w:val="20"/>
                <w:szCs w:val="20"/>
                <w:lang w:val="es-GT"/>
              </w:rPr>
            </w:pPr>
          </w:p>
          <w:p w:rsidR="00CB3154" w:rsidRPr="0065559D" w:rsidRDefault="00CB3154" w:rsidP="00A571C5">
            <w:pPr>
              <w:numPr>
                <w:ilvl w:val="0"/>
                <w:numId w:val="16"/>
              </w:numPr>
              <w:ind w:left="360"/>
              <w:jc w:val="both"/>
              <w:rPr>
                <w:rFonts w:ascii="Arial" w:hAnsi="Arial" w:cs="Arial"/>
                <w:sz w:val="20"/>
                <w:szCs w:val="20"/>
                <w:lang w:val="es-GT"/>
              </w:rPr>
            </w:pPr>
            <w:r w:rsidRPr="0065559D">
              <w:rPr>
                <w:rFonts w:ascii="Arial" w:hAnsi="Arial" w:cs="Arial"/>
                <w:sz w:val="20"/>
                <w:szCs w:val="20"/>
                <w:lang w:val="es-GT"/>
              </w:rPr>
              <w:t>El único Departamento autorizado por la DGE, para proporcionar información sobre el estado de un expediente en trámite, es el DGL.</w:t>
            </w:r>
          </w:p>
          <w:p w:rsidR="001140DD" w:rsidRPr="0065559D" w:rsidRDefault="001140DD" w:rsidP="001140DD">
            <w:pPr>
              <w:pStyle w:val="Prrafodelista"/>
              <w:rPr>
                <w:rFonts w:ascii="Arial" w:hAnsi="Arial" w:cs="Arial"/>
                <w:sz w:val="20"/>
                <w:szCs w:val="20"/>
              </w:rPr>
            </w:pPr>
          </w:p>
          <w:p w:rsidR="00A571C5" w:rsidRPr="0065559D" w:rsidRDefault="001140DD" w:rsidP="001140DD">
            <w:pPr>
              <w:numPr>
                <w:ilvl w:val="0"/>
                <w:numId w:val="16"/>
              </w:numPr>
              <w:ind w:left="360"/>
              <w:jc w:val="both"/>
              <w:rPr>
                <w:rFonts w:ascii="Arial" w:hAnsi="Arial" w:cs="Arial"/>
                <w:sz w:val="20"/>
                <w:szCs w:val="20"/>
                <w:lang w:val="es-GT"/>
              </w:rPr>
            </w:pPr>
            <w:r w:rsidRPr="0065559D">
              <w:rPr>
                <w:rFonts w:ascii="Arial" w:hAnsi="Arial" w:cs="Arial"/>
                <w:sz w:val="20"/>
                <w:szCs w:val="20"/>
                <w:lang w:val="es-GT"/>
              </w:rPr>
              <w:t xml:space="preserve">En la página WEB del MEM </w:t>
            </w:r>
            <w:hyperlink r:id="rId10" w:history="1">
              <w:r w:rsidRPr="0065559D">
                <w:rPr>
                  <w:rStyle w:val="Hipervnculo"/>
                  <w:rFonts w:ascii="Arial" w:hAnsi="Arial" w:cs="Arial"/>
                  <w:sz w:val="20"/>
                  <w:szCs w:val="20"/>
                  <w:lang w:val="es-GT"/>
                </w:rPr>
                <w:t>www.mem.gob.gt</w:t>
              </w:r>
            </w:hyperlink>
            <w:r w:rsidRPr="0065559D">
              <w:rPr>
                <w:rFonts w:ascii="Arial" w:hAnsi="Arial" w:cs="Arial"/>
                <w:sz w:val="20"/>
                <w:szCs w:val="20"/>
                <w:lang w:val="es-GT"/>
              </w:rPr>
              <w:t xml:space="preserve"> en el enlace </w:t>
            </w:r>
            <w:hyperlink r:id="rId11" w:history="1">
              <w:r w:rsidRPr="0065559D">
                <w:rPr>
                  <w:rStyle w:val="Hipervnculo"/>
                  <w:rFonts w:ascii="Arial" w:hAnsi="Arial" w:cs="Arial"/>
                  <w:sz w:val="20"/>
                  <w:szCs w:val="20"/>
                  <w:lang w:val="es-GT"/>
                </w:rPr>
                <w:t>https://mem.gob.gt/que-hacemos/area-energetica/radiacion-no-ionizante/</w:t>
              </w:r>
            </w:hyperlink>
            <w:r w:rsidRPr="0065559D">
              <w:rPr>
                <w:rFonts w:ascii="Arial" w:hAnsi="Arial" w:cs="Arial"/>
                <w:sz w:val="20"/>
                <w:szCs w:val="20"/>
                <w:lang w:val="es-GT"/>
              </w:rPr>
              <w:t xml:space="preserve"> se encuentran las guías y protocolos relacionados con radiaciones no ionizantes. </w:t>
            </w:r>
          </w:p>
        </w:tc>
      </w:tr>
    </w:tbl>
    <w:p w:rsidR="00FF2C41" w:rsidRDefault="00FF2C41" w:rsidP="0065559D"/>
    <w:sectPr w:rsidR="00FF2C41" w:rsidSect="00465AAC">
      <w:footerReference w:type="default" r:id="rId12"/>
      <w:pgSz w:w="12240" w:h="1872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113" w:rsidRDefault="00A57113" w:rsidP="009605AA">
      <w:pPr>
        <w:spacing w:after="0" w:line="240" w:lineRule="auto"/>
      </w:pPr>
      <w:r>
        <w:separator/>
      </w:r>
    </w:p>
  </w:endnote>
  <w:endnote w:type="continuationSeparator" w:id="0">
    <w:p w:rsidR="00A57113" w:rsidRDefault="00A57113" w:rsidP="00960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s-GT"/>
      </w:rPr>
      <w:id w:val="901406765"/>
      <w:docPartObj>
        <w:docPartGallery w:val="Page Numbers (Bottom of Page)"/>
        <w:docPartUnique/>
      </w:docPartObj>
    </w:sdtPr>
    <w:sdtContent>
      <w:sdt>
        <w:sdtPr>
          <w:rPr>
            <w:lang w:val="es-GT"/>
          </w:rPr>
          <w:id w:val="-1769616900"/>
          <w:docPartObj>
            <w:docPartGallery w:val="Page Numbers (Top of Page)"/>
            <w:docPartUnique/>
          </w:docPartObj>
        </w:sdtPr>
        <w:sdtContent>
          <w:p w:rsidR="00FC1A38" w:rsidRPr="009605AA" w:rsidRDefault="00FC1A38">
            <w:pPr>
              <w:pStyle w:val="Piedepgina"/>
              <w:jc w:val="right"/>
              <w:rPr>
                <w:lang w:val="es-GT"/>
              </w:rPr>
            </w:pPr>
            <w:r w:rsidRPr="009605AA">
              <w:rPr>
                <w:lang w:val="es-GT"/>
              </w:rPr>
              <w:t xml:space="preserve">Página </w:t>
            </w:r>
            <w:r w:rsidR="000D2E40" w:rsidRPr="009605AA">
              <w:rPr>
                <w:b/>
                <w:bCs/>
                <w:sz w:val="24"/>
                <w:szCs w:val="24"/>
                <w:lang w:val="es-GT"/>
              </w:rPr>
              <w:fldChar w:fldCharType="begin"/>
            </w:r>
            <w:r w:rsidRPr="009605AA">
              <w:rPr>
                <w:b/>
                <w:bCs/>
                <w:lang w:val="es-GT"/>
              </w:rPr>
              <w:instrText xml:space="preserve"> PAGE </w:instrText>
            </w:r>
            <w:r w:rsidR="000D2E40" w:rsidRPr="009605AA">
              <w:rPr>
                <w:b/>
                <w:bCs/>
                <w:sz w:val="24"/>
                <w:szCs w:val="24"/>
                <w:lang w:val="es-GT"/>
              </w:rPr>
              <w:fldChar w:fldCharType="separate"/>
            </w:r>
            <w:r w:rsidR="00B96894">
              <w:rPr>
                <w:b/>
                <w:bCs/>
                <w:noProof/>
                <w:lang w:val="es-GT"/>
              </w:rPr>
              <w:t>1</w:t>
            </w:r>
            <w:r w:rsidR="000D2E40" w:rsidRPr="009605AA">
              <w:rPr>
                <w:b/>
                <w:bCs/>
                <w:sz w:val="24"/>
                <w:szCs w:val="24"/>
                <w:lang w:val="es-GT"/>
              </w:rPr>
              <w:fldChar w:fldCharType="end"/>
            </w:r>
            <w:r w:rsidRPr="009605AA">
              <w:rPr>
                <w:lang w:val="es-GT"/>
              </w:rPr>
              <w:t xml:space="preserve"> de </w:t>
            </w:r>
            <w:r w:rsidR="000D2E40" w:rsidRPr="009605AA">
              <w:rPr>
                <w:b/>
                <w:bCs/>
                <w:sz w:val="24"/>
                <w:szCs w:val="24"/>
                <w:lang w:val="es-GT"/>
              </w:rPr>
              <w:fldChar w:fldCharType="begin"/>
            </w:r>
            <w:r w:rsidRPr="009605AA">
              <w:rPr>
                <w:b/>
                <w:bCs/>
                <w:lang w:val="es-GT"/>
              </w:rPr>
              <w:instrText xml:space="preserve"> NUMPAGES  </w:instrText>
            </w:r>
            <w:r w:rsidR="000D2E40" w:rsidRPr="009605AA">
              <w:rPr>
                <w:b/>
                <w:bCs/>
                <w:sz w:val="24"/>
                <w:szCs w:val="24"/>
                <w:lang w:val="es-GT"/>
              </w:rPr>
              <w:fldChar w:fldCharType="separate"/>
            </w:r>
            <w:r w:rsidR="00B96894">
              <w:rPr>
                <w:b/>
                <w:bCs/>
                <w:noProof/>
                <w:lang w:val="es-GT"/>
              </w:rPr>
              <w:t>1</w:t>
            </w:r>
            <w:r w:rsidR="000D2E40" w:rsidRPr="009605AA">
              <w:rPr>
                <w:b/>
                <w:bCs/>
                <w:sz w:val="24"/>
                <w:szCs w:val="24"/>
                <w:lang w:val="es-GT"/>
              </w:rPr>
              <w:fldChar w:fldCharType="end"/>
            </w:r>
          </w:p>
        </w:sdtContent>
      </w:sdt>
    </w:sdtContent>
  </w:sdt>
  <w:p w:rsidR="00FC1A38" w:rsidRDefault="00FC1A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113" w:rsidRDefault="00A57113" w:rsidP="009605AA">
      <w:pPr>
        <w:spacing w:after="0" w:line="240" w:lineRule="auto"/>
      </w:pPr>
      <w:r>
        <w:separator/>
      </w:r>
    </w:p>
  </w:footnote>
  <w:footnote w:type="continuationSeparator" w:id="0">
    <w:p w:rsidR="00A57113" w:rsidRDefault="00A57113" w:rsidP="00960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nsid w:val="2A87481C"/>
    <w:multiLevelType w:val="hybridMultilevel"/>
    <w:tmpl w:val="A8CC09F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8A7BBA"/>
    <w:multiLevelType w:val="hybridMultilevel"/>
    <w:tmpl w:val="2D348AC6"/>
    <w:lvl w:ilvl="0" w:tplc="409E543A">
      <w:start w:val="1"/>
      <w:numFmt w:val="upp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nsid w:val="43085947"/>
    <w:multiLevelType w:val="hybridMultilevel"/>
    <w:tmpl w:val="6DB2BE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nsid w:val="590A30A4"/>
    <w:multiLevelType w:val="hybridMultilevel"/>
    <w:tmpl w:val="876A6FD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4"/>
  </w:num>
  <w:num w:numId="5">
    <w:abstractNumId w:val="14"/>
  </w:num>
  <w:num w:numId="6">
    <w:abstractNumId w:val="15"/>
  </w:num>
  <w:num w:numId="7">
    <w:abstractNumId w:val="5"/>
  </w:num>
  <w:num w:numId="8">
    <w:abstractNumId w:val="11"/>
  </w:num>
  <w:num w:numId="9">
    <w:abstractNumId w:val="13"/>
  </w:num>
  <w:num w:numId="10">
    <w:abstractNumId w:val="2"/>
  </w:num>
  <w:num w:numId="11">
    <w:abstractNumId w:val="1"/>
  </w:num>
  <w:num w:numId="12">
    <w:abstractNumId w:val="7"/>
  </w:num>
  <w:num w:numId="13">
    <w:abstractNumId w:val="9"/>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forms" w:formatting="1" w:enforcement="1" w:cryptProviderType="rsaAES" w:cryptAlgorithmClass="hash" w:cryptAlgorithmType="typeAny" w:cryptAlgorithmSid="14" w:cryptSpinCount="100000" w:hash="K6jNFmRRkfvBh/Z/h4SEQusreTOM2HxGzHHtz9jigCWp9oo76B23TPIcSlohG+7sGOwWbqH8Pn61&#10;+aTSE27eWQ==" w:salt="H/vAo3ZyP11Ut3dhE9R11g=="/>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1A3D46"/>
    <w:rsid w:val="00005179"/>
    <w:rsid w:val="00033B90"/>
    <w:rsid w:val="00037310"/>
    <w:rsid w:val="00041C30"/>
    <w:rsid w:val="00066BCE"/>
    <w:rsid w:val="000878D3"/>
    <w:rsid w:val="0009682D"/>
    <w:rsid w:val="000A05A0"/>
    <w:rsid w:val="000A2BB2"/>
    <w:rsid w:val="000C3D8D"/>
    <w:rsid w:val="000D0BEA"/>
    <w:rsid w:val="000D2E40"/>
    <w:rsid w:val="00102B1E"/>
    <w:rsid w:val="00107B03"/>
    <w:rsid w:val="00110F58"/>
    <w:rsid w:val="001140DD"/>
    <w:rsid w:val="001566B8"/>
    <w:rsid w:val="00164AFE"/>
    <w:rsid w:val="00170705"/>
    <w:rsid w:val="00183162"/>
    <w:rsid w:val="0018536C"/>
    <w:rsid w:val="0018702B"/>
    <w:rsid w:val="0018798C"/>
    <w:rsid w:val="00194C99"/>
    <w:rsid w:val="001A3D46"/>
    <w:rsid w:val="001B1048"/>
    <w:rsid w:val="001B1C5F"/>
    <w:rsid w:val="001B66AE"/>
    <w:rsid w:val="001C0DCC"/>
    <w:rsid w:val="001C42D3"/>
    <w:rsid w:val="001D410A"/>
    <w:rsid w:val="001E0B32"/>
    <w:rsid w:val="001E1964"/>
    <w:rsid w:val="001F53A1"/>
    <w:rsid w:val="00202743"/>
    <w:rsid w:val="00213E45"/>
    <w:rsid w:val="00222CD3"/>
    <w:rsid w:val="002245D9"/>
    <w:rsid w:val="00237666"/>
    <w:rsid w:val="00253B20"/>
    <w:rsid w:val="00260C0E"/>
    <w:rsid w:val="002646A8"/>
    <w:rsid w:val="00265229"/>
    <w:rsid w:val="0027719C"/>
    <w:rsid w:val="002A4BFE"/>
    <w:rsid w:val="002E3854"/>
    <w:rsid w:val="0032497A"/>
    <w:rsid w:val="003670C8"/>
    <w:rsid w:val="003951EF"/>
    <w:rsid w:val="003B6DE0"/>
    <w:rsid w:val="003E06CF"/>
    <w:rsid w:val="003E0C2B"/>
    <w:rsid w:val="0042769B"/>
    <w:rsid w:val="00432DB5"/>
    <w:rsid w:val="00452D87"/>
    <w:rsid w:val="00465AAC"/>
    <w:rsid w:val="00467A5B"/>
    <w:rsid w:val="004B40E4"/>
    <w:rsid w:val="005177F0"/>
    <w:rsid w:val="0052266C"/>
    <w:rsid w:val="00527ABC"/>
    <w:rsid w:val="00537474"/>
    <w:rsid w:val="00537E32"/>
    <w:rsid w:val="00551B4F"/>
    <w:rsid w:val="005571F5"/>
    <w:rsid w:val="005649C4"/>
    <w:rsid w:val="00565892"/>
    <w:rsid w:val="00572950"/>
    <w:rsid w:val="00584A73"/>
    <w:rsid w:val="00585821"/>
    <w:rsid w:val="005A7977"/>
    <w:rsid w:val="005C469A"/>
    <w:rsid w:val="005F6D9E"/>
    <w:rsid w:val="006161AF"/>
    <w:rsid w:val="00652634"/>
    <w:rsid w:val="00652EA8"/>
    <w:rsid w:val="0065559D"/>
    <w:rsid w:val="00660420"/>
    <w:rsid w:val="00685AC3"/>
    <w:rsid w:val="006B6466"/>
    <w:rsid w:val="00706E03"/>
    <w:rsid w:val="007210B5"/>
    <w:rsid w:val="00723D48"/>
    <w:rsid w:val="007270AD"/>
    <w:rsid w:val="0073149A"/>
    <w:rsid w:val="00764915"/>
    <w:rsid w:val="00777995"/>
    <w:rsid w:val="00777D4D"/>
    <w:rsid w:val="0078094B"/>
    <w:rsid w:val="00785C08"/>
    <w:rsid w:val="00792A0D"/>
    <w:rsid w:val="007973EB"/>
    <w:rsid w:val="00797D6D"/>
    <w:rsid w:val="007A1536"/>
    <w:rsid w:val="007B7140"/>
    <w:rsid w:val="007C0259"/>
    <w:rsid w:val="007E2BA4"/>
    <w:rsid w:val="00824C97"/>
    <w:rsid w:val="0082523B"/>
    <w:rsid w:val="00862DB7"/>
    <w:rsid w:val="008A62B2"/>
    <w:rsid w:val="008A6CB1"/>
    <w:rsid w:val="008A73C7"/>
    <w:rsid w:val="008B0E69"/>
    <w:rsid w:val="008E3E3D"/>
    <w:rsid w:val="008E3EBD"/>
    <w:rsid w:val="009237F4"/>
    <w:rsid w:val="0092634C"/>
    <w:rsid w:val="0094471F"/>
    <w:rsid w:val="009605AA"/>
    <w:rsid w:val="00980629"/>
    <w:rsid w:val="00984502"/>
    <w:rsid w:val="009A771E"/>
    <w:rsid w:val="009B4278"/>
    <w:rsid w:val="009B5947"/>
    <w:rsid w:val="009C2D3D"/>
    <w:rsid w:val="009C34CC"/>
    <w:rsid w:val="009C78B3"/>
    <w:rsid w:val="009D16A4"/>
    <w:rsid w:val="00A02401"/>
    <w:rsid w:val="00A400F3"/>
    <w:rsid w:val="00A4438D"/>
    <w:rsid w:val="00A57113"/>
    <w:rsid w:val="00A571C5"/>
    <w:rsid w:val="00A578E0"/>
    <w:rsid w:val="00A870CF"/>
    <w:rsid w:val="00A91B2D"/>
    <w:rsid w:val="00A96702"/>
    <w:rsid w:val="00AA3314"/>
    <w:rsid w:val="00AB4167"/>
    <w:rsid w:val="00AC44B6"/>
    <w:rsid w:val="00AF1EB4"/>
    <w:rsid w:val="00B03B4A"/>
    <w:rsid w:val="00B15210"/>
    <w:rsid w:val="00B16F48"/>
    <w:rsid w:val="00B772FE"/>
    <w:rsid w:val="00B84766"/>
    <w:rsid w:val="00B96894"/>
    <w:rsid w:val="00BD62E9"/>
    <w:rsid w:val="00C23460"/>
    <w:rsid w:val="00C53D5A"/>
    <w:rsid w:val="00C96026"/>
    <w:rsid w:val="00C963F1"/>
    <w:rsid w:val="00C9747C"/>
    <w:rsid w:val="00CA2C3D"/>
    <w:rsid w:val="00CB3154"/>
    <w:rsid w:val="00CB7698"/>
    <w:rsid w:val="00CC118A"/>
    <w:rsid w:val="00CC4740"/>
    <w:rsid w:val="00CD0735"/>
    <w:rsid w:val="00CD0F52"/>
    <w:rsid w:val="00CD4FBE"/>
    <w:rsid w:val="00CD5316"/>
    <w:rsid w:val="00CF3A44"/>
    <w:rsid w:val="00D11213"/>
    <w:rsid w:val="00D27633"/>
    <w:rsid w:val="00D365B2"/>
    <w:rsid w:val="00D43D49"/>
    <w:rsid w:val="00D45342"/>
    <w:rsid w:val="00D4640F"/>
    <w:rsid w:val="00D75392"/>
    <w:rsid w:val="00DA0D2D"/>
    <w:rsid w:val="00DD22EA"/>
    <w:rsid w:val="00DE6971"/>
    <w:rsid w:val="00DF03C7"/>
    <w:rsid w:val="00E01A1D"/>
    <w:rsid w:val="00E24B1A"/>
    <w:rsid w:val="00E36CC6"/>
    <w:rsid w:val="00E43BBE"/>
    <w:rsid w:val="00E47A54"/>
    <w:rsid w:val="00E56083"/>
    <w:rsid w:val="00E60DD3"/>
    <w:rsid w:val="00E62B25"/>
    <w:rsid w:val="00E93EE9"/>
    <w:rsid w:val="00EA2636"/>
    <w:rsid w:val="00ED408A"/>
    <w:rsid w:val="00F00066"/>
    <w:rsid w:val="00F20B69"/>
    <w:rsid w:val="00F229E9"/>
    <w:rsid w:val="00F24AC6"/>
    <w:rsid w:val="00F257BE"/>
    <w:rsid w:val="00F3421F"/>
    <w:rsid w:val="00F41BEA"/>
    <w:rsid w:val="00F46EF6"/>
    <w:rsid w:val="00F573B5"/>
    <w:rsid w:val="00F726FA"/>
    <w:rsid w:val="00F763A9"/>
    <w:rsid w:val="00F85FCE"/>
    <w:rsid w:val="00F87048"/>
    <w:rsid w:val="00FB1033"/>
    <w:rsid w:val="00FC1A38"/>
    <w:rsid w:val="00FE38DE"/>
    <w:rsid w:val="00FF2C41"/>
    <w:rsid w:val="00FF32B0"/>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DE6971"/>
    <w:rPr>
      <w:color w:val="0563C1" w:themeColor="hyperlink"/>
      <w:u w:val="single"/>
    </w:rPr>
  </w:style>
  <w:style w:type="character" w:customStyle="1" w:styleId="SinespaciadoCar">
    <w:name w:val="Sin espaciado Car"/>
    <w:basedOn w:val="Fuentedeprrafopredeter"/>
    <w:link w:val="Sinespaciado"/>
    <w:uiPriority w:val="1"/>
    <w:rsid w:val="009C78B3"/>
  </w:style>
  <w:style w:type="table" w:customStyle="1" w:styleId="Tablaconcuadrcula1">
    <w:name w:val="Tabla con cuadrícula1"/>
    <w:basedOn w:val="Tablanormal"/>
    <w:next w:val="Tablaconcuadrcula"/>
    <w:uiPriority w:val="39"/>
    <w:rsid w:val="00CB3154"/>
    <w:pPr>
      <w:spacing w:after="0" w:line="240" w:lineRule="auto"/>
    </w:pPr>
    <w:rPr>
      <w:lang w:val="es-G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CB3154"/>
    <w:pPr>
      <w:spacing w:after="0" w:line="240" w:lineRule="auto"/>
    </w:pPr>
    <w:rPr>
      <w:lang w:val="es-G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64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gob.gt/que-hacemos/area-energetica/radiacion-no-ionizante/" TargetMode="External"/><Relationship Id="rId5" Type="http://schemas.openxmlformats.org/officeDocument/2006/relationships/webSettings" Target="webSettings.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mailto:dgedigitalprote@mem.gob.g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F1E22-3F1A-4627-BD97-59913EAB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676</Words>
  <Characters>3722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LGonzalez</cp:lastModifiedBy>
  <cp:revision>12</cp:revision>
  <cp:lastPrinted>2021-11-23T15:03:00Z</cp:lastPrinted>
  <dcterms:created xsi:type="dcterms:W3CDTF">2021-10-18T15:51:00Z</dcterms:created>
  <dcterms:modified xsi:type="dcterms:W3CDTF">2021-11-23T15:07:00Z</dcterms:modified>
</cp:coreProperties>
</file>