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FD7B" w14:textId="77777777" w:rsidR="00407A9D" w:rsidRDefault="00407A9D" w:rsidP="00AD2825">
      <w:pPr>
        <w:pStyle w:val="Ttulo"/>
        <w:spacing w:before="0"/>
        <w:ind w:left="0" w:firstLine="0"/>
        <w:jc w:val="center"/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</w:pPr>
    </w:p>
    <w:p w14:paraId="4E7494D6" w14:textId="5A6BF655" w:rsidR="00093798" w:rsidRPr="00682F8E" w:rsidRDefault="00105635" w:rsidP="00AD2825">
      <w:pPr>
        <w:pStyle w:val="Ttulo"/>
        <w:spacing w:before="0"/>
        <w:ind w:left="0" w:firstLine="0"/>
        <w:jc w:val="center"/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  <w:t>INSTRUCTIVO PARA</w:t>
      </w:r>
      <w:r w:rsidR="00072A79" w:rsidRPr="00682F8E"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  <w:t xml:space="preserve"> AMPLIACIÓN</w:t>
      </w:r>
      <w:r w:rsidR="005B2B62" w:rsidRPr="00682F8E"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  <w:t xml:space="preserve"> DE</w:t>
      </w:r>
      <w:r w:rsidRPr="00682F8E"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  <w:t xml:space="preserve"> </w:t>
      </w:r>
      <w:r w:rsidR="00240BB4" w:rsidRPr="00682F8E"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  <w:t xml:space="preserve">LICENCIA DE PRODUCCIÓN Y ABASTECIMIENTO AL MERCADO LOCAL </w:t>
      </w:r>
      <w:r w:rsidR="004F1712" w:rsidRPr="00682F8E">
        <w:rPr>
          <w:rFonts w:ascii="Montserrat Light" w:eastAsia="Titillium Lt" w:hAnsi="Montserrat Light" w:cs="Titillium Lt"/>
          <w:color w:val="002060"/>
          <w:sz w:val="28"/>
          <w:szCs w:val="28"/>
          <w:lang w:val="es-GT"/>
        </w:rPr>
        <w:t>DE ALCOHOL CARBURANTE</w:t>
      </w:r>
    </w:p>
    <w:p w14:paraId="4011B91F" w14:textId="77777777" w:rsidR="00AD2825" w:rsidRPr="00682F8E" w:rsidRDefault="00AD2825" w:rsidP="00AD2825">
      <w:pPr>
        <w:pStyle w:val="Ttulo"/>
        <w:spacing w:before="0"/>
        <w:ind w:left="0" w:firstLine="0"/>
        <w:jc w:val="left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0907554A" w14:textId="47F93FCF" w:rsidR="00DE5805" w:rsidRPr="00682F8E" w:rsidRDefault="00E82EB3" w:rsidP="00AD2825">
      <w:pPr>
        <w:pStyle w:val="Ttulo"/>
        <w:spacing w:before="0"/>
        <w:ind w:left="0" w:firstLine="0"/>
        <w:jc w:val="left"/>
        <w:rPr>
          <w:rFonts w:ascii="Montserrat Light" w:eastAsia="Titillium Lt" w:hAnsi="Montserrat Light" w:cs="Titillium Lt"/>
          <w:color w:val="002060"/>
          <w:sz w:val="24"/>
          <w:szCs w:val="24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4"/>
          <w:szCs w:val="24"/>
          <w:lang w:val="es-GT"/>
        </w:rPr>
        <w:t>Descripción del trámite:</w:t>
      </w:r>
    </w:p>
    <w:p w14:paraId="65A560F2" w14:textId="46D96DBF" w:rsidR="00DE5805" w:rsidRPr="00682F8E" w:rsidRDefault="00183859" w:rsidP="00AD2825">
      <w:pPr>
        <w:tabs>
          <w:tab w:val="left" w:pos="1134"/>
        </w:tabs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Los Productores Registrados podrán requerir ampliación a la l</w:t>
      </w:r>
      <w:r w:rsidR="00DB568F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icencia de producción y abastecimiento al mercado local </w:t>
      </w: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de Alcohol Carburante</w:t>
      </w:r>
      <w:r w:rsidR="00423AD5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para cubrir la producción</w:t>
      </w:r>
      <w:r w:rsidR="00F52B12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</w:t>
      </w:r>
    </w:p>
    <w:p w14:paraId="148517FB" w14:textId="4543EAF0" w:rsidR="00DE5805" w:rsidRPr="00682F8E" w:rsidRDefault="00ED1E4E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  <w:r w:rsidRPr="00682F8E">
        <w:rPr>
          <w:rFonts w:ascii="Montserrat Light" w:hAnsi="Montserrat Light"/>
          <w:noProof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57422B" wp14:editId="7BAF9ACA">
                <wp:simplePos x="0" y="0"/>
                <wp:positionH relativeFrom="column">
                  <wp:posOffset>3543300</wp:posOffset>
                </wp:positionH>
                <wp:positionV relativeFrom="paragraph">
                  <wp:posOffset>100330</wp:posOffset>
                </wp:positionV>
                <wp:extent cx="2743200" cy="1857375"/>
                <wp:effectExtent l="0" t="0" r="19050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6B7065" w14:textId="77777777" w:rsidR="00DE5805" w:rsidRPr="00682F8E" w:rsidRDefault="00E82EB3" w:rsidP="00AD2825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</w:rPr>
                            </w:pPr>
                            <w:r w:rsidRPr="00682F8E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>Resultado del trámite:</w:t>
                            </w:r>
                          </w:p>
                          <w:p w14:paraId="4AC3862B" w14:textId="356D790E" w:rsidR="00DE5805" w:rsidRPr="00682F8E" w:rsidRDefault="00072A79" w:rsidP="00AD2825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  <w:r w:rsidRPr="00682F8E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Ampliación de </w:t>
                            </w:r>
                            <w:r w:rsidR="00D10912" w:rsidRPr="00682F8E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Licencia de </w:t>
                            </w:r>
                            <w:r w:rsidR="00F863F3" w:rsidRPr="00682F8E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D10912" w:rsidRPr="00682F8E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roducción y </w:t>
                            </w:r>
                            <w:r w:rsidR="00F863F3" w:rsidRPr="00682F8E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="006C46B1" w:rsidRPr="00682F8E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bastecimiento</w:t>
                            </w:r>
                            <w:r w:rsidR="006849F9" w:rsidRPr="00682F8E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 al Mercado Local</w:t>
                            </w:r>
                            <w:r w:rsidR="006C46B1" w:rsidRPr="00682F8E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FEF14B" w14:textId="77777777" w:rsidR="00DE5805" w:rsidRPr="00682F8E" w:rsidRDefault="00DE5805" w:rsidP="00AD2825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</w:p>
                          <w:p w14:paraId="547BA3A2" w14:textId="466D1FF7" w:rsidR="00DE5805" w:rsidRPr="00682F8E" w:rsidRDefault="00E82EB3" w:rsidP="00AD2825">
                            <w:pPr>
                              <w:jc w:val="both"/>
                              <w:textDirection w:val="btLr"/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</w:pPr>
                            <w:r w:rsidRPr="00682F8E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>Costo del trámite:</w:t>
                            </w:r>
                          </w:p>
                          <w:p w14:paraId="637033F9" w14:textId="1FE2960D" w:rsidR="00943AD5" w:rsidRPr="00AD2825" w:rsidRDefault="002E3E11" w:rsidP="00AD2825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bCs/>
                                <w:sz w:val="20"/>
                                <w:szCs w:val="20"/>
                              </w:rPr>
                            </w:pPr>
                            <w:r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Según art</w:t>
                            </w:r>
                            <w:r w:rsidR="00DB568F"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í</w:t>
                            </w:r>
                            <w:r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culo 9</w:t>
                            </w:r>
                            <w:r w:rsidR="0040414E"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5159"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“</w:t>
                            </w:r>
                            <w:r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="0040414E"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rancel</w:t>
                            </w:r>
                            <w:r w:rsidR="00E25159"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”</w:t>
                            </w:r>
                            <w:r w:rsidR="0040414E"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del acuerdo Gubernativo Número 159</w:t>
                            </w:r>
                            <w:r w:rsidR="00E25159"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 w:rsidR="0040414E"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2023</w:t>
                            </w:r>
                            <w:r w:rsidR="00C370F8"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, Reglamento General de la Ley del Alcohol Carburante</w:t>
                            </w:r>
                            <w:r w:rsidR="00E25159" w:rsidRPr="00682F8E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D024CE" w14:textId="77777777" w:rsidR="00DE5805" w:rsidRDefault="00DE5805">
                            <w:pPr>
                              <w:textDirection w:val="btLr"/>
                            </w:pPr>
                          </w:p>
                          <w:p w14:paraId="4AE173EF" w14:textId="0869A573" w:rsidR="00DE5805" w:rsidRDefault="00DE580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7422B" id="Rectángulo: esquinas redondeadas 14" o:spid="_x0000_s1026" style="position:absolute;margin-left:279pt;margin-top:7.9pt;width:3in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" fillcolor="white [3201]" strokecolor="#002060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E6B7065" w14:textId="77777777" w:rsidR="00DE5805" w:rsidRPr="00682F8E" w:rsidRDefault="00E82EB3" w:rsidP="00AD2825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</w:rPr>
                      </w:pPr>
                      <w:r w:rsidRPr="00682F8E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>Resultado del trámite:</w:t>
                      </w:r>
                    </w:p>
                    <w:p w14:paraId="4AC3862B" w14:textId="356D790E" w:rsidR="00DE5805" w:rsidRPr="00682F8E" w:rsidRDefault="00072A79" w:rsidP="00AD2825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  <w:r w:rsidRPr="00682F8E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Ampliación de </w:t>
                      </w:r>
                      <w:r w:rsidR="00D10912" w:rsidRPr="00682F8E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Licencia de </w:t>
                      </w:r>
                      <w:r w:rsidR="00F863F3" w:rsidRPr="00682F8E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D10912" w:rsidRPr="00682F8E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roducción y </w:t>
                      </w:r>
                      <w:r w:rsidR="00F863F3" w:rsidRPr="00682F8E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A</w:t>
                      </w:r>
                      <w:r w:rsidR="006C46B1" w:rsidRPr="00682F8E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bastecimiento</w:t>
                      </w:r>
                      <w:r w:rsidR="006849F9" w:rsidRPr="00682F8E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 al Mercado Local</w:t>
                      </w:r>
                      <w:r w:rsidR="006C46B1" w:rsidRPr="00682F8E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14:paraId="49FEF14B" w14:textId="77777777" w:rsidR="00DE5805" w:rsidRPr="00682F8E" w:rsidRDefault="00DE5805" w:rsidP="00AD2825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</w:p>
                    <w:p w14:paraId="547BA3A2" w14:textId="466D1FF7" w:rsidR="00DE5805" w:rsidRPr="00682F8E" w:rsidRDefault="00E82EB3" w:rsidP="00AD2825">
                      <w:pPr>
                        <w:jc w:val="both"/>
                        <w:textDirection w:val="btLr"/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</w:pPr>
                      <w:r w:rsidRPr="00682F8E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>Costo del trámite:</w:t>
                      </w:r>
                    </w:p>
                    <w:p w14:paraId="637033F9" w14:textId="1FE2960D" w:rsidR="00943AD5" w:rsidRPr="00AD2825" w:rsidRDefault="002E3E11" w:rsidP="00AD2825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bCs/>
                          <w:sz w:val="20"/>
                          <w:szCs w:val="20"/>
                        </w:rPr>
                      </w:pPr>
                      <w:r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Según art</w:t>
                      </w:r>
                      <w:r w:rsidR="00DB568F"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í</w:t>
                      </w:r>
                      <w:r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culo 9</w:t>
                      </w:r>
                      <w:r w:rsidR="0040414E"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E25159"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“</w:t>
                      </w:r>
                      <w:r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A</w:t>
                      </w:r>
                      <w:r w:rsidR="0040414E"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rancel</w:t>
                      </w:r>
                      <w:r w:rsidR="00E25159"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”</w:t>
                      </w:r>
                      <w:r w:rsidR="0040414E"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 xml:space="preserve"> del acuerdo Gubernativo Número 159</w:t>
                      </w:r>
                      <w:r w:rsidR="00E25159"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-</w:t>
                      </w:r>
                      <w:r w:rsidR="0040414E"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2023</w:t>
                      </w:r>
                      <w:r w:rsidR="00C370F8"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, Reglamento General de la Ley del Alcohol Carburante</w:t>
                      </w:r>
                      <w:r w:rsidR="00E25159" w:rsidRPr="00682F8E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14:paraId="37D024CE" w14:textId="77777777" w:rsidR="00DE5805" w:rsidRDefault="00DE5805">
                      <w:pPr>
                        <w:textDirection w:val="btLr"/>
                      </w:pPr>
                    </w:p>
                    <w:p w14:paraId="4AE173EF" w14:textId="0869A573" w:rsidR="00DE5805" w:rsidRDefault="00DE5805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F5B985" w14:textId="0C85B77C" w:rsidR="00DE5805" w:rsidRPr="00682F8E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DDB0C23" w14:textId="00DCBFA1" w:rsidR="00DE5805" w:rsidRPr="00682F8E" w:rsidRDefault="00AD282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  <w:r w:rsidRPr="00682F8E">
        <w:rPr>
          <w:rFonts w:ascii="Montserrat Light" w:eastAsia="Titillium Lt" w:hAnsi="Montserrat Light" w:cs="Titillium Lt"/>
          <w:noProof/>
          <w:color w:val="002060"/>
          <w:sz w:val="24"/>
          <w:szCs w:val="24"/>
          <w:lang w:val="es-GT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0A16ECD" wp14:editId="5DD3F85B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3314700" cy="10287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651406" w14:textId="77777777" w:rsidR="00DE5805" w:rsidRPr="00682F8E" w:rsidRDefault="00E82EB3">
                            <w:pPr>
                              <w:spacing w:before="96"/>
                              <w:ind w:right="715"/>
                              <w:textDirection w:val="btLr"/>
                              <w:rPr>
                                <w:rFonts w:ascii="Montserrat Light" w:hAnsi="Montserrat Light"/>
                              </w:rPr>
                            </w:pPr>
                            <w:r w:rsidRPr="00682F8E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 xml:space="preserve">Base Legal: </w:t>
                            </w:r>
                          </w:p>
                          <w:p w14:paraId="54BDDFFA" w14:textId="7292C0F7" w:rsidR="00DE5805" w:rsidRPr="00ED1E4E" w:rsidRDefault="004F1712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  <w:r w:rsidRPr="00682F8E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Decreto Ley 17-85, Ley del Alcohol Carburante; Acuerdo Gubernativo Número 159-2023, </w:t>
                            </w:r>
                            <w:r w:rsidR="00F46707" w:rsidRPr="00682F8E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Reglamento General de la Ley del Alcohol Carburante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16ECD" id="Rectángulo: esquinas redondeadas 13" o:spid="_x0000_s1027" style="position:absolute;margin-left:0;margin-top:3.65pt;width:261pt;height:8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" fillcolor="white [3201]" stroked="f">
                <v:textbox inset="2.53958mm,1.2694mm,2.53958mm,1.2694mm">
                  <w:txbxContent>
                    <w:p w14:paraId="24651406" w14:textId="77777777" w:rsidR="00DE5805" w:rsidRPr="00682F8E" w:rsidRDefault="00E82EB3">
                      <w:pPr>
                        <w:spacing w:before="96"/>
                        <w:ind w:right="715"/>
                        <w:textDirection w:val="btLr"/>
                        <w:rPr>
                          <w:rFonts w:ascii="Montserrat Light" w:hAnsi="Montserrat Light"/>
                        </w:rPr>
                      </w:pPr>
                      <w:r w:rsidRPr="00682F8E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 xml:space="preserve">Base Legal: </w:t>
                      </w:r>
                    </w:p>
                    <w:p w14:paraId="54BDDFFA" w14:textId="7292C0F7" w:rsidR="00DE5805" w:rsidRPr="00ED1E4E" w:rsidRDefault="004F1712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  <w:r w:rsidRPr="00682F8E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Decreto Ley 17-85, Ley del Alcohol Carburante; Acuerdo Gubernativo Número 159-2023, </w:t>
                      </w:r>
                      <w:r w:rsidR="00F46707" w:rsidRPr="00682F8E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Reglamento General de la Ley del Alcohol Carburante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6D9F56" w14:textId="1F1CD443" w:rsidR="00DE5805" w:rsidRPr="00682F8E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23869391" w14:textId="77777777" w:rsidR="00DE5805" w:rsidRPr="00682F8E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CD7D5AC" w14:textId="77777777" w:rsidR="00DE5805" w:rsidRPr="00682F8E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F2D29EE" w14:textId="77777777" w:rsidR="00DE5805" w:rsidRPr="00682F8E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02AE98CF" w14:textId="77777777" w:rsidR="00DE5805" w:rsidRPr="00682F8E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313E289" w14:textId="77777777" w:rsidR="005D04EE" w:rsidRPr="00682F8E" w:rsidRDefault="005D04EE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</w:p>
    <w:p w14:paraId="73A4D9B7" w14:textId="77777777" w:rsidR="005D04EE" w:rsidRPr="00682F8E" w:rsidRDefault="005D04EE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</w:p>
    <w:p w14:paraId="7F28EEB9" w14:textId="69581830" w:rsidR="00DE5805" w:rsidRPr="00682F8E" w:rsidRDefault="00E82EB3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  <w:r w:rsidRPr="00682F8E"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  <w:t>Requisitos:</w:t>
      </w:r>
    </w:p>
    <w:p w14:paraId="596E73D6" w14:textId="77F86917" w:rsidR="00CA3D71" w:rsidRPr="00682F8E" w:rsidRDefault="00CA3D71" w:rsidP="00CA3D71">
      <w:pPr>
        <w:tabs>
          <w:tab w:val="left" w:pos="1134"/>
        </w:tabs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A continuación, se detallan los documentos que se deben presentar en la ventanilla de la Dirección General de Energía -DGE-, todos los documentos a presentar deben estar vigentes a la fecha:</w:t>
      </w:r>
    </w:p>
    <w:p w14:paraId="1CBA7CFB" w14:textId="77777777" w:rsidR="00AD2825" w:rsidRPr="00682F8E" w:rsidRDefault="00AD2825" w:rsidP="00AD2825">
      <w:pPr>
        <w:pBdr>
          <w:top w:val="nil"/>
          <w:left w:val="nil"/>
          <w:bottom w:val="nil"/>
          <w:right w:val="nil"/>
          <w:between w:val="nil"/>
        </w:pBdr>
        <w:spacing w:before="21"/>
        <w:jc w:val="both"/>
        <w:rPr>
          <w:rFonts w:ascii="Montserrat Light" w:eastAsia="Titillium Lt" w:hAnsi="Montserrat Light" w:cs="Titillium Lt"/>
          <w:color w:val="002060"/>
          <w:sz w:val="20"/>
          <w:szCs w:val="20"/>
          <w:u w:val="single"/>
          <w:lang w:val="es-GT"/>
        </w:rPr>
      </w:pPr>
      <w:bookmarkStart w:id="0" w:name="_Hlk146701043"/>
    </w:p>
    <w:p w14:paraId="764D49DF" w14:textId="782774D8" w:rsidR="00DE5805" w:rsidRPr="00682F8E" w:rsidRDefault="00E82EB3" w:rsidP="00AD2825">
      <w:pPr>
        <w:pBdr>
          <w:top w:val="nil"/>
          <w:left w:val="nil"/>
          <w:bottom w:val="nil"/>
          <w:right w:val="nil"/>
          <w:between w:val="nil"/>
        </w:pBdr>
        <w:spacing w:before="21"/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682F8E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Para una persona individual:</w:t>
      </w:r>
    </w:p>
    <w:p w14:paraId="50F3EEA0" w14:textId="77777777" w:rsidR="00407A9D" w:rsidRPr="00407A9D" w:rsidRDefault="00407A9D" w:rsidP="00407A9D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0000"/>
          <w:sz w:val="20"/>
          <w:szCs w:val="20"/>
          <w:lang w:val="es-GT"/>
        </w:rPr>
      </w:pPr>
    </w:p>
    <w:p w14:paraId="0E17EDAB" w14:textId="7E6A5962" w:rsidR="00DE5805" w:rsidRPr="00682F8E" w:rsidRDefault="00AD2825" w:rsidP="00AD2825">
      <w:pPr>
        <w:pStyle w:val="Prrafodelista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000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Fotocopia del d</w:t>
      </w:r>
      <w:r w:rsidR="00A72B7B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ocumento de identificación personal del solicitante</w:t>
      </w:r>
      <w:r w:rsidR="00F6620A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:</w:t>
      </w:r>
    </w:p>
    <w:p w14:paraId="574EC21D" w14:textId="61447789" w:rsidR="00DD302D" w:rsidRPr="00682F8E" w:rsidRDefault="00A72B7B" w:rsidP="00AD2825">
      <w:pPr>
        <w:pStyle w:val="Prrafodelista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Para Nacionales: </w:t>
      </w:r>
      <w:r w:rsidR="00DD302D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Documento Personal de Identificación </w:t>
      </w:r>
      <w:r w:rsidR="006849F9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vigente</w:t>
      </w:r>
      <w:r w:rsidR="002E3E11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</w:t>
      </w:r>
      <w:r w:rsidR="00DD302D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-DPI</w:t>
      </w:r>
      <w:r w:rsidR="006849F9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-</w:t>
      </w:r>
      <w:r w:rsidR="00DD302D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(ambos lados)</w:t>
      </w:r>
      <w:r w:rsidR="00F6620A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</w:t>
      </w:r>
    </w:p>
    <w:p w14:paraId="47EB1F18" w14:textId="77777777" w:rsidR="00AD2825" w:rsidRPr="00682F8E" w:rsidRDefault="00A72B7B" w:rsidP="00AD2825">
      <w:pPr>
        <w:pStyle w:val="Prrafodelista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000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Extranjeros: Pasaporte vigente y completo</w:t>
      </w:r>
      <w:r w:rsidR="00F6620A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</w:t>
      </w:r>
    </w:p>
    <w:p w14:paraId="60B41D39" w14:textId="77777777" w:rsidR="00AD2825" w:rsidRPr="00682F8E" w:rsidRDefault="00AD2825" w:rsidP="00AD282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66C13DDA" w14:textId="30DFBDEB" w:rsidR="00AD2825" w:rsidRPr="00682F8E" w:rsidRDefault="00AD2825" w:rsidP="00AD2825">
      <w:pPr>
        <w:pStyle w:val="Prrafodelista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000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 la </w:t>
      </w:r>
      <w:r w:rsidR="00E82EB3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Patente de Comercio de Empresa</w:t>
      </w:r>
      <w:r w:rsidR="00F6620A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</w:t>
      </w:r>
    </w:p>
    <w:p w14:paraId="1870686E" w14:textId="77777777" w:rsidR="00AD2825" w:rsidRPr="00682F8E" w:rsidRDefault="00AD2825" w:rsidP="00AD2825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0000"/>
          <w:sz w:val="20"/>
          <w:szCs w:val="20"/>
          <w:lang w:val="es-GT"/>
        </w:rPr>
      </w:pPr>
    </w:p>
    <w:p w14:paraId="2A7DC791" w14:textId="0335D313" w:rsidR="00F304E5" w:rsidRPr="00682F8E" w:rsidRDefault="00F304E5" w:rsidP="00F304E5">
      <w:pPr>
        <w:pStyle w:val="Prrafodelista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strike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Constancia de inscripción en el Registro Tributario Unificado -RTU-, de la Superintendencia de Administración Tributaria</w:t>
      </w:r>
    </w:p>
    <w:p w14:paraId="22A2D23B" w14:textId="77777777" w:rsidR="00AD2825" w:rsidRPr="00682F8E" w:rsidRDefault="00AD2825" w:rsidP="00F304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3CD5D5E9" w14:textId="0C3B264B" w:rsidR="006849F9" w:rsidRPr="00682F8E" w:rsidRDefault="006849F9" w:rsidP="00AD2825">
      <w:pPr>
        <w:pStyle w:val="Prrafodelista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000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Si el solicitante actúa en representación de otra persona, se debe adjuntar fotocopia del testimonio de mandato especial con representación legal.</w:t>
      </w:r>
    </w:p>
    <w:p w14:paraId="235BB07A" w14:textId="77777777" w:rsidR="00DE5805" w:rsidRPr="00682F8E" w:rsidRDefault="00DE5805">
      <w:pP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0F8DEB46" w14:textId="77777777" w:rsidR="00DE5805" w:rsidRPr="00682F8E" w:rsidRDefault="00E82EB3" w:rsidP="00C660CB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682F8E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Para una persona jurídica:</w:t>
      </w:r>
    </w:p>
    <w:p w14:paraId="2742D8DA" w14:textId="77777777" w:rsidR="00407A9D" w:rsidRPr="00407A9D" w:rsidRDefault="00407A9D" w:rsidP="00407A9D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0000"/>
          <w:sz w:val="20"/>
          <w:szCs w:val="20"/>
          <w:lang w:val="es-GT"/>
        </w:rPr>
      </w:pPr>
    </w:p>
    <w:p w14:paraId="5A968BAA" w14:textId="39164ADD" w:rsidR="00F6620A" w:rsidRPr="00682F8E" w:rsidRDefault="00C660CB" w:rsidP="00C660CB">
      <w:pPr>
        <w:pStyle w:val="Prrafodelista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000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Fotocopia del d</w:t>
      </w:r>
      <w:r w:rsidR="00F6620A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ocumento de identificación personal del </w:t>
      </w:r>
      <w:r w:rsidR="006849F9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representante legal</w:t>
      </w:r>
      <w:r w:rsidR="00F6620A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:</w:t>
      </w:r>
    </w:p>
    <w:p w14:paraId="5C78CD33" w14:textId="1AAAA142" w:rsidR="00F6620A" w:rsidRPr="00682F8E" w:rsidRDefault="00F6620A" w:rsidP="00C660CB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Nacionales: Documento Personal de Identificación</w:t>
      </w:r>
      <w:r w:rsidR="006849F9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vigente</w:t>
      </w: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-DPI</w:t>
      </w:r>
      <w:r w:rsidR="002E3E11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-</w:t>
      </w: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(ambos lados)</w:t>
      </w:r>
    </w:p>
    <w:p w14:paraId="389F66D0" w14:textId="09832422" w:rsidR="00DE5805" w:rsidRPr="00682F8E" w:rsidRDefault="00F6620A" w:rsidP="00C660CB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Extranjeros: Pasaporte vigente y completo.</w:t>
      </w:r>
    </w:p>
    <w:p w14:paraId="62CB5A62" w14:textId="77777777" w:rsidR="00C660CB" w:rsidRPr="00682F8E" w:rsidRDefault="00C660CB" w:rsidP="00C660C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397B33A5" w14:textId="77777777" w:rsidR="00C660CB" w:rsidRPr="00682F8E" w:rsidRDefault="00F6620A" w:rsidP="00C660CB">
      <w:pPr>
        <w:pStyle w:val="Prrafodelista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Nombramiento Vigente del Representante Legal, razonado por los Registros que correspondan.</w:t>
      </w:r>
    </w:p>
    <w:p w14:paraId="2F24DAE8" w14:textId="77777777" w:rsidR="00C660CB" w:rsidRPr="00682F8E" w:rsidRDefault="00C660CB" w:rsidP="00C660CB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09E4CCA6" w14:textId="77777777" w:rsidR="00C660CB" w:rsidRPr="00682F8E" w:rsidRDefault="00C660CB" w:rsidP="00C660CB">
      <w:pPr>
        <w:pStyle w:val="Prrafodelista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 la </w:t>
      </w:r>
      <w:r w:rsidR="00EB729C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</w:t>
      </w:r>
      <w:r w:rsidR="00F6620A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atente de Comercio de Sociedad.</w:t>
      </w:r>
    </w:p>
    <w:p w14:paraId="298BB926" w14:textId="77777777" w:rsidR="00C660CB" w:rsidRPr="00682F8E" w:rsidRDefault="00C660CB" w:rsidP="00C660CB">
      <w:pPr>
        <w:pStyle w:val="Prrafodelista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062E9B5E" w14:textId="77777777" w:rsidR="00C660CB" w:rsidRPr="00682F8E" w:rsidRDefault="00C660CB" w:rsidP="00C660CB">
      <w:pPr>
        <w:pStyle w:val="Prrafodelista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 la </w:t>
      </w:r>
      <w:r w:rsidR="00F6620A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Patente de Comercio de Empresa.</w:t>
      </w:r>
    </w:p>
    <w:p w14:paraId="450B1B52" w14:textId="77777777" w:rsidR="00C660CB" w:rsidRPr="00682F8E" w:rsidRDefault="00C660CB" w:rsidP="00C660CB">
      <w:pPr>
        <w:pStyle w:val="Prrafodelista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599E042C" w14:textId="77777777" w:rsidR="00C660CB" w:rsidRPr="00682F8E" w:rsidRDefault="00C660CB" w:rsidP="00C660CB">
      <w:pPr>
        <w:pStyle w:val="Prrafodelista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strike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Constancia de inscripción en el Registro Tributario Unificado -RTU-, de la Superintendencia de Administración Tributaria</w:t>
      </w:r>
    </w:p>
    <w:p w14:paraId="1E12E97F" w14:textId="77777777" w:rsidR="00C660CB" w:rsidRPr="00682F8E" w:rsidRDefault="00C660CB" w:rsidP="00C660CB">
      <w:pPr>
        <w:pStyle w:val="Prrafodelista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705B510B" w14:textId="77777777" w:rsidR="00C660CB" w:rsidRPr="00682F8E" w:rsidRDefault="003431F1" w:rsidP="00C660CB">
      <w:pPr>
        <w:pStyle w:val="Prrafodelista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strike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Certificado de la inscripción de la </w:t>
      </w:r>
      <w:r w:rsidR="00C50197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s</w:t>
      </w: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ociedad en el </w:t>
      </w:r>
      <w:r w:rsidR="00C50197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R</w:t>
      </w: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egistro </w:t>
      </w:r>
      <w:r w:rsidR="00C50197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M</w:t>
      </w: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ercantil</w:t>
      </w:r>
      <w:r w:rsidR="000D1446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.</w:t>
      </w:r>
    </w:p>
    <w:p w14:paraId="7A40FAC5" w14:textId="77777777" w:rsidR="00C660CB" w:rsidRPr="00682F8E" w:rsidRDefault="00C660CB" w:rsidP="00C660CB">
      <w:pPr>
        <w:pStyle w:val="Prrafodelista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7FB04FDD" w14:textId="77777777" w:rsidR="007F2D4A" w:rsidRPr="00682F8E" w:rsidRDefault="00C660CB" w:rsidP="007F2D4A">
      <w:pPr>
        <w:pStyle w:val="Prrafodelista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strike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Fotocopia del t</w:t>
      </w:r>
      <w:r w:rsidR="00F6620A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estimonio de la escritura pública de constitución de la sociedad con sus modificaciones si las hubiere, inscritas en el Registro Mercantil.</w:t>
      </w:r>
      <w:bookmarkEnd w:id="0"/>
    </w:p>
    <w:p w14:paraId="29F4C67A" w14:textId="77777777" w:rsidR="007F2D4A" w:rsidRPr="00682F8E" w:rsidRDefault="007F2D4A" w:rsidP="007F2D4A">
      <w:pPr>
        <w:pStyle w:val="Prrafodelista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73ACB002" w14:textId="6B074162" w:rsidR="00DE5805" w:rsidRPr="00682F8E" w:rsidRDefault="00E82EB3" w:rsidP="007F2D4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682F8E">
        <w:rPr>
          <w:rFonts w:ascii="Montserrat Light" w:eastAsia="Titillium Lt" w:hAnsi="Montserrat Light" w:cs="Titillium Lt"/>
          <w:b/>
          <w:color w:val="002060"/>
          <w:lang w:val="es-GT"/>
        </w:rPr>
        <w:t>Para ambas personerías, adjuntar los siguientes formularios y documentos:</w:t>
      </w:r>
      <w:r w:rsidRPr="00682F8E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 xml:space="preserve">  </w:t>
      </w:r>
    </w:p>
    <w:p w14:paraId="10643368" w14:textId="77777777" w:rsidR="007F2D4A" w:rsidRPr="00682F8E" w:rsidRDefault="007F2D4A" w:rsidP="007F2D4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strike/>
          <w:color w:val="002060"/>
          <w:sz w:val="20"/>
          <w:szCs w:val="20"/>
          <w:lang w:val="es-GT"/>
        </w:rPr>
      </w:pPr>
    </w:p>
    <w:p w14:paraId="5E79125E" w14:textId="77777777" w:rsidR="00966705" w:rsidRPr="00682F8E" w:rsidRDefault="00604EEE" w:rsidP="00966705">
      <w:pPr>
        <w:pStyle w:val="Prrafodelista"/>
        <w:widowControl/>
        <w:numPr>
          <w:ilvl w:val="0"/>
          <w:numId w:val="21"/>
        </w:numPr>
        <w:jc w:val="both"/>
        <w:rPr>
          <w:rFonts w:ascii="Montserrat Light" w:eastAsia="Titillium Lt" w:hAnsi="Montserrat Light" w:cs="Titillium Lt"/>
          <w:bCs/>
          <w:color w:val="002060"/>
          <w:sz w:val="24"/>
          <w:szCs w:val="24"/>
          <w:lang w:val="es-GT"/>
        </w:rPr>
      </w:pPr>
      <w:r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Formulario </w:t>
      </w:r>
      <w:r w:rsidR="00105635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para solicitud </w:t>
      </w:r>
      <w:r w:rsidR="00D10912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de</w:t>
      </w:r>
      <w:r w:rsidR="00072A79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ampliación de</w:t>
      </w:r>
      <w:r w:rsidR="00D10912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licencia de producción y abastecimiento al mercado local de</w:t>
      </w:r>
      <w:r w:rsidR="00105635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alcohol carburante </w:t>
      </w:r>
      <w:r w:rsidR="00E82EB3" w:rsidRPr="00682F8E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".</w:t>
      </w:r>
      <w:bookmarkStart w:id="1" w:name="_Hlk146701088"/>
    </w:p>
    <w:p w14:paraId="3568D629" w14:textId="6BDC1842" w:rsidR="00E86983" w:rsidRPr="00682F8E" w:rsidRDefault="00C4287C" w:rsidP="00966705">
      <w:pPr>
        <w:pStyle w:val="Prrafodelista"/>
        <w:widowControl/>
        <w:numPr>
          <w:ilvl w:val="0"/>
          <w:numId w:val="21"/>
        </w:numPr>
        <w:jc w:val="both"/>
        <w:rPr>
          <w:rFonts w:ascii="Montserrat Light" w:eastAsia="Titillium Lt" w:hAnsi="Montserrat Light" w:cs="Titillium Lt"/>
          <w:bCs/>
          <w:color w:val="002060"/>
          <w:sz w:val="24"/>
          <w:szCs w:val="24"/>
          <w:lang w:val="es-GT"/>
        </w:rPr>
      </w:pP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En el caso de que la documentación entregada no presente inconveniente, se notificará al usuario el monto a pagar, el cual se determinara con base en la cantidad de galones de Alcohol Carburante que se soliciten para la respectiva licencia, y este se calculará acorde al salario mínimo mensual vigente para las actividades no agrícolas del área central. Para un desglose detallado de los costos, el artículo número 9 “Arancel” del Acuerdo Gubernativo Número 159-2023 incluye una tabla de los costos aplicables a la emisión o ampliación de licencia anual donde se especifican los valores para el cálculo</w:t>
      </w:r>
      <w:r w:rsidR="00765624"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.</w:t>
      </w:r>
    </w:p>
    <w:p w14:paraId="759B962F" w14:textId="4D6202B7" w:rsidR="00481BE6" w:rsidRPr="00682F8E" w:rsidRDefault="00481BE6" w:rsidP="00481BE6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440F1839" w14:textId="58838F4F" w:rsidR="00481BE6" w:rsidRPr="00682F8E" w:rsidRDefault="00481BE6" w:rsidP="00481BE6">
      <w:pPr>
        <w:widowControl/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682F8E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Generalidades:</w:t>
      </w:r>
    </w:p>
    <w:bookmarkEnd w:id="1"/>
    <w:p w14:paraId="2848A7D0" w14:textId="77777777" w:rsidR="009652BE" w:rsidRPr="00682F8E" w:rsidRDefault="009652BE" w:rsidP="009652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793C0FE6" w14:textId="74F10C45" w:rsidR="00E86983" w:rsidRPr="00682F8E" w:rsidRDefault="00943AD5" w:rsidP="00481BE6">
      <w:pPr>
        <w:pStyle w:val="Prrafodelista"/>
        <w:widowControl/>
        <w:numPr>
          <w:ilvl w:val="0"/>
          <w:numId w:val="22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Toda solicitud o gestión debe ser dirigida a</w:t>
      </w:r>
      <w:r w:rsidR="00481BE6"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la </w:t>
      </w: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Direc</w:t>
      </w:r>
      <w:r w:rsidR="00481BE6"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ción </w:t>
      </w: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General de Energía.</w:t>
      </w:r>
    </w:p>
    <w:p w14:paraId="77FF7C88" w14:textId="03299A86" w:rsidR="00943AD5" w:rsidRPr="00682F8E" w:rsidRDefault="00943AD5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4A5E32AA" w14:textId="0C4FE862" w:rsidR="006141DA" w:rsidRPr="00682F8E" w:rsidRDefault="007A01A3" w:rsidP="00481BE6">
      <w:pPr>
        <w:pStyle w:val="Prrafodelista"/>
        <w:widowControl/>
        <w:numPr>
          <w:ilvl w:val="0"/>
          <w:numId w:val="22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La documentación presentada debe ser LEGIBLE.</w:t>
      </w:r>
    </w:p>
    <w:p w14:paraId="590095BF" w14:textId="067DB5E1" w:rsidR="00F863F3" w:rsidRPr="00682F8E" w:rsidRDefault="00F863F3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1FB72506" w14:textId="6970D9A3" w:rsidR="00F863F3" w:rsidRPr="00682F8E" w:rsidRDefault="00206F2F" w:rsidP="00481BE6">
      <w:pPr>
        <w:pStyle w:val="Prrafodelista"/>
        <w:widowControl/>
        <w:numPr>
          <w:ilvl w:val="0"/>
          <w:numId w:val="22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Todo solicitante de esta licencia</w:t>
      </w:r>
      <w:r w:rsidR="00F863F3"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debe</w:t>
      </w:r>
      <w:r w:rsidR="00F863F3"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est</w:t>
      </w: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ar</w:t>
      </w:r>
      <w:r w:rsidR="00F863F3"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inscrito</w:t>
      </w: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previamente </w:t>
      </w:r>
      <w:r w:rsidR="00F863F3"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en el Registro de Productores de Alcohol Carburante de la DGE.</w:t>
      </w:r>
    </w:p>
    <w:p w14:paraId="3C6E9073" w14:textId="0F94E92C" w:rsidR="00E86983" w:rsidRPr="00682F8E" w:rsidRDefault="00E86983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025D4A7A" w14:textId="13060EAB" w:rsidR="007A01A3" w:rsidRPr="00682F8E" w:rsidRDefault="006849F9" w:rsidP="00481BE6">
      <w:pPr>
        <w:pStyle w:val="Prrafodelista"/>
        <w:widowControl/>
        <w:numPr>
          <w:ilvl w:val="0"/>
          <w:numId w:val="22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La orden de pago para solicitud de </w:t>
      </w:r>
      <w:r w:rsidR="00C22353"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Ampliación de </w:t>
      </w:r>
      <w:r w:rsidR="005513FE"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Licencia de Producción y Abastecimiento al Mercado Local</w:t>
      </w: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deberá </w:t>
      </w:r>
      <w:r w:rsidR="00C22353"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solicitarla</w:t>
      </w: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en </w:t>
      </w:r>
      <w:r w:rsidR="00C22353"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la ventanilla de la Dirección General de Energía</w:t>
      </w: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y efectuar el pago según la modalidad implementada por la DGE.</w:t>
      </w:r>
    </w:p>
    <w:p w14:paraId="584CCCE0" w14:textId="77777777" w:rsidR="002E3E11" w:rsidRPr="00682F8E" w:rsidRDefault="002E3E11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2943E628" w14:textId="1EF92D55" w:rsidR="007A01A3" w:rsidRPr="00682F8E" w:rsidRDefault="007A01A3" w:rsidP="00481BE6">
      <w:pPr>
        <w:pStyle w:val="Prrafodelista"/>
        <w:widowControl/>
        <w:numPr>
          <w:ilvl w:val="0"/>
          <w:numId w:val="22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El ingreso del expediente no implica la aprobación de la licencia requerida.</w:t>
      </w:r>
    </w:p>
    <w:p w14:paraId="5D9A0243" w14:textId="77777777" w:rsidR="007A01A3" w:rsidRPr="00682F8E" w:rsidRDefault="007A01A3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1757FCB3" w14:textId="62A25D8B" w:rsidR="007A01A3" w:rsidRPr="00682F8E" w:rsidRDefault="007A01A3" w:rsidP="00481BE6">
      <w:pPr>
        <w:pStyle w:val="Prrafodelista"/>
        <w:widowControl/>
        <w:numPr>
          <w:ilvl w:val="0"/>
          <w:numId w:val="22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</w:t>
      </w:r>
      <w:r w:rsidR="000E0CE0" w:rsidRPr="00682F8E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 único Departamento autorizado por la DGE, para proporcionar información sobre el estado de un expediente en trámite, es el de Gestión Legal.</w:t>
      </w:r>
    </w:p>
    <w:p w14:paraId="76362CE5" w14:textId="77777777" w:rsidR="000E0CE0" w:rsidRPr="00ED1E4E" w:rsidRDefault="000E0CE0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4"/>
          <w:szCs w:val="24"/>
          <w:lang w:val="es-GT"/>
        </w:rPr>
      </w:pPr>
    </w:p>
    <w:p w14:paraId="39E9279C" w14:textId="77777777" w:rsidR="00DE5805" w:rsidRPr="00833FFE" w:rsidRDefault="00DE5805" w:rsidP="00072A79">
      <w:pPr>
        <w:rPr>
          <w:rFonts w:ascii="Titillium Lt" w:eastAsia="Titillium Lt" w:hAnsi="Titillium Lt" w:cs="Titillium Lt"/>
          <w:sz w:val="24"/>
          <w:szCs w:val="24"/>
          <w:lang w:val="es-GT"/>
        </w:rPr>
      </w:pPr>
    </w:p>
    <w:sectPr w:rsidR="00DE5805" w:rsidRPr="00833FFE">
      <w:headerReference w:type="default" r:id="rId9"/>
      <w:footerReference w:type="default" r:id="rId10"/>
      <w:pgSz w:w="12240" w:h="18720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AA3B" w14:textId="77777777" w:rsidR="003D2BB4" w:rsidRDefault="003D2BB4">
      <w:r>
        <w:separator/>
      </w:r>
    </w:p>
  </w:endnote>
  <w:endnote w:type="continuationSeparator" w:id="0">
    <w:p w14:paraId="6D2477C9" w14:textId="77777777" w:rsidR="003D2BB4" w:rsidRDefault="003D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Titillium L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7749" w14:textId="77777777" w:rsidR="00DE5805" w:rsidRDefault="00DE5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E0F6" w14:textId="77777777" w:rsidR="003D2BB4" w:rsidRDefault="003D2BB4">
      <w:r>
        <w:separator/>
      </w:r>
    </w:p>
  </w:footnote>
  <w:footnote w:type="continuationSeparator" w:id="0">
    <w:p w14:paraId="5B1450AD" w14:textId="77777777" w:rsidR="003D2BB4" w:rsidRDefault="003D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B85D" w14:textId="63D7E6C1" w:rsidR="00DE5805" w:rsidRDefault="00407A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749"/>
      </w:tabs>
      <w:rPr>
        <w:color w:val="000000"/>
      </w:rPr>
    </w:pPr>
    <w:r>
      <w:rPr>
        <w:noProof/>
      </w:rPr>
      <w:drawing>
        <wp:inline distT="0" distB="0" distL="0" distR="0" wp14:anchorId="6CBC6B07" wp14:editId="1362E17C">
          <wp:extent cx="2200275" cy="775970"/>
          <wp:effectExtent l="0" t="0" r="9525" b="508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EB3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327"/>
    <w:multiLevelType w:val="hybridMultilevel"/>
    <w:tmpl w:val="6E88D6FE"/>
    <w:lvl w:ilvl="0" w:tplc="7E9248B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trike w:val="0"/>
        <w:color w:val="C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06C9"/>
    <w:multiLevelType w:val="hybridMultilevel"/>
    <w:tmpl w:val="B37C427E"/>
    <w:lvl w:ilvl="0" w:tplc="546C3A2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65D82"/>
    <w:multiLevelType w:val="multilevel"/>
    <w:tmpl w:val="36ACE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4C99"/>
    <w:multiLevelType w:val="hybridMultilevel"/>
    <w:tmpl w:val="E09C685A"/>
    <w:lvl w:ilvl="0" w:tplc="9ECA5D1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-360" w:hanging="360"/>
      </w:pPr>
    </w:lvl>
    <w:lvl w:ilvl="2" w:tplc="100A001B" w:tentative="1">
      <w:start w:val="1"/>
      <w:numFmt w:val="lowerRoman"/>
      <w:lvlText w:val="%3."/>
      <w:lvlJc w:val="right"/>
      <w:pPr>
        <w:ind w:left="360" w:hanging="180"/>
      </w:pPr>
    </w:lvl>
    <w:lvl w:ilvl="3" w:tplc="100A000F" w:tentative="1">
      <w:start w:val="1"/>
      <w:numFmt w:val="decimal"/>
      <w:lvlText w:val="%4."/>
      <w:lvlJc w:val="left"/>
      <w:pPr>
        <w:ind w:left="1080" w:hanging="360"/>
      </w:pPr>
    </w:lvl>
    <w:lvl w:ilvl="4" w:tplc="100A0019" w:tentative="1">
      <w:start w:val="1"/>
      <w:numFmt w:val="lowerLetter"/>
      <w:lvlText w:val="%5."/>
      <w:lvlJc w:val="left"/>
      <w:pPr>
        <w:ind w:left="1800" w:hanging="360"/>
      </w:pPr>
    </w:lvl>
    <w:lvl w:ilvl="5" w:tplc="100A001B" w:tentative="1">
      <w:start w:val="1"/>
      <w:numFmt w:val="lowerRoman"/>
      <w:lvlText w:val="%6."/>
      <w:lvlJc w:val="right"/>
      <w:pPr>
        <w:ind w:left="2520" w:hanging="180"/>
      </w:pPr>
    </w:lvl>
    <w:lvl w:ilvl="6" w:tplc="100A000F" w:tentative="1">
      <w:start w:val="1"/>
      <w:numFmt w:val="decimal"/>
      <w:lvlText w:val="%7."/>
      <w:lvlJc w:val="left"/>
      <w:pPr>
        <w:ind w:left="3240" w:hanging="360"/>
      </w:pPr>
    </w:lvl>
    <w:lvl w:ilvl="7" w:tplc="100A0019" w:tentative="1">
      <w:start w:val="1"/>
      <w:numFmt w:val="lowerLetter"/>
      <w:lvlText w:val="%8."/>
      <w:lvlJc w:val="left"/>
      <w:pPr>
        <w:ind w:left="3960" w:hanging="360"/>
      </w:pPr>
    </w:lvl>
    <w:lvl w:ilvl="8" w:tplc="10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2B2B4A3A"/>
    <w:multiLevelType w:val="multilevel"/>
    <w:tmpl w:val="7C7AF27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color w:val="FF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6D8"/>
    <w:multiLevelType w:val="hybridMultilevel"/>
    <w:tmpl w:val="92F681F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7803A8"/>
    <w:multiLevelType w:val="hybridMultilevel"/>
    <w:tmpl w:val="CF5210B8"/>
    <w:lvl w:ilvl="0" w:tplc="9ECA5D18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5C2C"/>
    <w:multiLevelType w:val="hybridMultilevel"/>
    <w:tmpl w:val="A6466840"/>
    <w:lvl w:ilvl="0" w:tplc="915CF6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A1562B"/>
    <w:multiLevelType w:val="hybridMultilevel"/>
    <w:tmpl w:val="CF5210B8"/>
    <w:lvl w:ilvl="0" w:tplc="9ECA5D18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36594"/>
    <w:multiLevelType w:val="multilevel"/>
    <w:tmpl w:val="43B87BE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E74632"/>
    <w:multiLevelType w:val="hybridMultilevel"/>
    <w:tmpl w:val="453C7AD0"/>
    <w:lvl w:ilvl="0" w:tplc="915CF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B7E15"/>
    <w:multiLevelType w:val="hybridMultilevel"/>
    <w:tmpl w:val="E09C685A"/>
    <w:lvl w:ilvl="0" w:tplc="9ECA5D1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-360" w:hanging="360"/>
      </w:pPr>
    </w:lvl>
    <w:lvl w:ilvl="2" w:tplc="100A001B" w:tentative="1">
      <w:start w:val="1"/>
      <w:numFmt w:val="lowerRoman"/>
      <w:lvlText w:val="%3."/>
      <w:lvlJc w:val="right"/>
      <w:pPr>
        <w:ind w:left="360" w:hanging="180"/>
      </w:pPr>
    </w:lvl>
    <w:lvl w:ilvl="3" w:tplc="100A000F" w:tentative="1">
      <w:start w:val="1"/>
      <w:numFmt w:val="decimal"/>
      <w:lvlText w:val="%4."/>
      <w:lvlJc w:val="left"/>
      <w:pPr>
        <w:ind w:left="1080" w:hanging="360"/>
      </w:pPr>
    </w:lvl>
    <w:lvl w:ilvl="4" w:tplc="100A0019" w:tentative="1">
      <w:start w:val="1"/>
      <w:numFmt w:val="lowerLetter"/>
      <w:lvlText w:val="%5."/>
      <w:lvlJc w:val="left"/>
      <w:pPr>
        <w:ind w:left="1800" w:hanging="360"/>
      </w:pPr>
    </w:lvl>
    <w:lvl w:ilvl="5" w:tplc="100A001B" w:tentative="1">
      <w:start w:val="1"/>
      <w:numFmt w:val="lowerRoman"/>
      <w:lvlText w:val="%6."/>
      <w:lvlJc w:val="right"/>
      <w:pPr>
        <w:ind w:left="2520" w:hanging="180"/>
      </w:pPr>
    </w:lvl>
    <w:lvl w:ilvl="6" w:tplc="100A000F" w:tentative="1">
      <w:start w:val="1"/>
      <w:numFmt w:val="decimal"/>
      <w:lvlText w:val="%7."/>
      <w:lvlJc w:val="left"/>
      <w:pPr>
        <w:ind w:left="3240" w:hanging="360"/>
      </w:pPr>
    </w:lvl>
    <w:lvl w:ilvl="7" w:tplc="100A0019" w:tentative="1">
      <w:start w:val="1"/>
      <w:numFmt w:val="lowerLetter"/>
      <w:lvlText w:val="%8."/>
      <w:lvlJc w:val="left"/>
      <w:pPr>
        <w:ind w:left="3960" w:hanging="360"/>
      </w:pPr>
    </w:lvl>
    <w:lvl w:ilvl="8" w:tplc="10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2" w15:restartNumberingAfterBreak="0">
    <w:nsid w:val="50C973CF"/>
    <w:multiLevelType w:val="hybridMultilevel"/>
    <w:tmpl w:val="5CACCF96"/>
    <w:lvl w:ilvl="0" w:tplc="28F6C6AC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C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A7637"/>
    <w:multiLevelType w:val="hybridMultilevel"/>
    <w:tmpl w:val="86448802"/>
    <w:lvl w:ilvl="0" w:tplc="28F6C6AC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C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65419"/>
    <w:multiLevelType w:val="multilevel"/>
    <w:tmpl w:val="8C32C65E"/>
    <w:lvl w:ilvl="0">
      <w:start w:val="1"/>
      <w:numFmt w:val="decimal"/>
      <w:lvlText w:val="%1."/>
      <w:lvlJc w:val="left"/>
      <w:pPr>
        <w:ind w:left="1800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EE32A6"/>
    <w:multiLevelType w:val="hybridMultilevel"/>
    <w:tmpl w:val="3000C6F0"/>
    <w:lvl w:ilvl="0" w:tplc="78E4477A">
      <w:start w:val="1"/>
      <w:numFmt w:val="decimal"/>
      <w:lvlText w:val="%1."/>
      <w:lvlJc w:val="left"/>
      <w:pPr>
        <w:ind w:left="2062" w:hanging="360"/>
      </w:pPr>
      <w:rPr>
        <w:b w:val="0"/>
        <w:bCs w:val="0"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E2F07"/>
    <w:multiLevelType w:val="hybridMultilevel"/>
    <w:tmpl w:val="ACCEDD98"/>
    <w:lvl w:ilvl="0" w:tplc="915CF6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70EF3"/>
    <w:multiLevelType w:val="multilevel"/>
    <w:tmpl w:val="8C32C65E"/>
    <w:lvl w:ilvl="0">
      <w:start w:val="1"/>
      <w:numFmt w:val="decimal"/>
      <w:lvlText w:val="%1."/>
      <w:lvlJc w:val="left"/>
      <w:pPr>
        <w:ind w:left="1800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93F473A"/>
    <w:multiLevelType w:val="multilevel"/>
    <w:tmpl w:val="69B0E06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424B9"/>
    <w:multiLevelType w:val="hybridMultilevel"/>
    <w:tmpl w:val="7BB2C1B6"/>
    <w:lvl w:ilvl="0" w:tplc="0CF2E572">
      <w:start w:val="1"/>
      <w:numFmt w:val="decimal"/>
      <w:lvlText w:val="%1."/>
      <w:lvlJc w:val="left"/>
      <w:pPr>
        <w:ind w:left="2160" w:hanging="360"/>
      </w:pPr>
      <w:rPr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C2972C6"/>
    <w:multiLevelType w:val="multilevel"/>
    <w:tmpl w:val="69B0E068"/>
    <w:lvl w:ilvl="0">
      <w:start w:val="1"/>
      <w:numFmt w:val="decimal"/>
      <w:lvlText w:val="%1."/>
      <w:lvlJc w:val="left"/>
      <w:pPr>
        <w:ind w:left="180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C3965D4"/>
    <w:multiLevelType w:val="multilevel"/>
    <w:tmpl w:val="7C7AF27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color w:val="FF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2"/>
  </w:num>
  <w:num w:numId="5">
    <w:abstractNumId w:val="14"/>
  </w:num>
  <w:num w:numId="6">
    <w:abstractNumId w:val="1"/>
  </w:num>
  <w:num w:numId="7">
    <w:abstractNumId w:val="21"/>
  </w:num>
  <w:num w:numId="8">
    <w:abstractNumId w:val="4"/>
  </w:num>
  <w:num w:numId="9">
    <w:abstractNumId w:val="19"/>
  </w:num>
  <w:num w:numId="10">
    <w:abstractNumId w:val="15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13"/>
  </w:num>
  <w:num w:numId="18">
    <w:abstractNumId w:val="16"/>
  </w:num>
  <w:num w:numId="19">
    <w:abstractNumId w:val="12"/>
  </w:num>
  <w:num w:numId="20">
    <w:abstractNumId w:val="7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05"/>
    <w:rsid w:val="00000C7B"/>
    <w:rsid w:val="000074EA"/>
    <w:rsid w:val="00042703"/>
    <w:rsid w:val="00072A79"/>
    <w:rsid w:val="00093798"/>
    <w:rsid w:val="000D1446"/>
    <w:rsid w:val="000E0CE0"/>
    <w:rsid w:val="00105635"/>
    <w:rsid w:val="00183859"/>
    <w:rsid w:val="001A0C23"/>
    <w:rsid w:val="001B3414"/>
    <w:rsid w:val="001D256D"/>
    <w:rsid w:val="00206F2F"/>
    <w:rsid w:val="00224358"/>
    <w:rsid w:val="002377B6"/>
    <w:rsid w:val="00240BB4"/>
    <w:rsid w:val="002704C1"/>
    <w:rsid w:val="00277EA4"/>
    <w:rsid w:val="002817F6"/>
    <w:rsid w:val="00294577"/>
    <w:rsid w:val="002D6624"/>
    <w:rsid w:val="002E3E11"/>
    <w:rsid w:val="0030181A"/>
    <w:rsid w:val="00310E67"/>
    <w:rsid w:val="003431F1"/>
    <w:rsid w:val="003A4D38"/>
    <w:rsid w:val="003D2BB4"/>
    <w:rsid w:val="003F2D74"/>
    <w:rsid w:val="0040414E"/>
    <w:rsid w:val="00407A9D"/>
    <w:rsid w:val="00423AD5"/>
    <w:rsid w:val="004437B3"/>
    <w:rsid w:val="00481BE6"/>
    <w:rsid w:val="004C22A0"/>
    <w:rsid w:val="004F102D"/>
    <w:rsid w:val="004F1712"/>
    <w:rsid w:val="004F3BF6"/>
    <w:rsid w:val="00511220"/>
    <w:rsid w:val="005144B1"/>
    <w:rsid w:val="005513FE"/>
    <w:rsid w:val="005B2B62"/>
    <w:rsid w:val="005D04EE"/>
    <w:rsid w:val="005F47CA"/>
    <w:rsid w:val="00604EEE"/>
    <w:rsid w:val="006141DA"/>
    <w:rsid w:val="00627117"/>
    <w:rsid w:val="006501C3"/>
    <w:rsid w:val="00652096"/>
    <w:rsid w:val="0066656B"/>
    <w:rsid w:val="00676DF3"/>
    <w:rsid w:val="00682F8E"/>
    <w:rsid w:val="006849F9"/>
    <w:rsid w:val="006C46B1"/>
    <w:rsid w:val="007069D5"/>
    <w:rsid w:val="00745D8C"/>
    <w:rsid w:val="00754BF1"/>
    <w:rsid w:val="00764CB8"/>
    <w:rsid w:val="00765624"/>
    <w:rsid w:val="00771602"/>
    <w:rsid w:val="00774DE1"/>
    <w:rsid w:val="007865C9"/>
    <w:rsid w:val="007A01A3"/>
    <w:rsid w:val="007B69FE"/>
    <w:rsid w:val="007F2D4A"/>
    <w:rsid w:val="00802594"/>
    <w:rsid w:val="00833FFE"/>
    <w:rsid w:val="00836983"/>
    <w:rsid w:val="008426BE"/>
    <w:rsid w:val="0094340F"/>
    <w:rsid w:val="00943AD5"/>
    <w:rsid w:val="00961882"/>
    <w:rsid w:val="009652BE"/>
    <w:rsid w:val="00966394"/>
    <w:rsid w:val="00966705"/>
    <w:rsid w:val="009913FF"/>
    <w:rsid w:val="00A04D5D"/>
    <w:rsid w:val="00A11E53"/>
    <w:rsid w:val="00A330A9"/>
    <w:rsid w:val="00A46695"/>
    <w:rsid w:val="00A536A7"/>
    <w:rsid w:val="00A62704"/>
    <w:rsid w:val="00A636D8"/>
    <w:rsid w:val="00A72B7B"/>
    <w:rsid w:val="00AB1D8F"/>
    <w:rsid w:val="00AB5EA8"/>
    <w:rsid w:val="00AC6873"/>
    <w:rsid w:val="00AD1FDA"/>
    <w:rsid w:val="00AD2825"/>
    <w:rsid w:val="00AE6DC2"/>
    <w:rsid w:val="00B24937"/>
    <w:rsid w:val="00B34071"/>
    <w:rsid w:val="00B35968"/>
    <w:rsid w:val="00B47AFA"/>
    <w:rsid w:val="00BA1396"/>
    <w:rsid w:val="00BB05BB"/>
    <w:rsid w:val="00BF4835"/>
    <w:rsid w:val="00BF700C"/>
    <w:rsid w:val="00C13C6D"/>
    <w:rsid w:val="00C177D2"/>
    <w:rsid w:val="00C22353"/>
    <w:rsid w:val="00C370F8"/>
    <w:rsid w:val="00C4287C"/>
    <w:rsid w:val="00C50197"/>
    <w:rsid w:val="00C660CB"/>
    <w:rsid w:val="00CA3D71"/>
    <w:rsid w:val="00CC5F79"/>
    <w:rsid w:val="00CF61E0"/>
    <w:rsid w:val="00D10912"/>
    <w:rsid w:val="00D16133"/>
    <w:rsid w:val="00D17CBA"/>
    <w:rsid w:val="00D30DF2"/>
    <w:rsid w:val="00D32E9C"/>
    <w:rsid w:val="00D9007D"/>
    <w:rsid w:val="00DB568F"/>
    <w:rsid w:val="00DD302D"/>
    <w:rsid w:val="00DE5805"/>
    <w:rsid w:val="00E01225"/>
    <w:rsid w:val="00E25159"/>
    <w:rsid w:val="00E34E18"/>
    <w:rsid w:val="00E4420C"/>
    <w:rsid w:val="00E54B1B"/>
    <w:rsid w:val="00E71DF8"/>
    <w:rsid w:val="00E735C1"/>
    <w:rsid w:val="00E8013E"/>
    <w:rsid w:val="00E82EB3"/>
    <w:rsid w:val="00E86983"/>
    <w:rsid w:val="00EA44BC"/>
    <w:rsid w:val="00EB729C"/>
    <w:rsid w:val="00ED1E4E"/>
    <w:rsid w:val="00EF00D7"/>
    <w:rsid w:val="00F07BC4"/>
    <w:rsid w:val="00F304E5"/>
    <w:rsid w:val="00F4007F"/>
    <w:rsid w:val="00F46707"/>
    <w:rsid w:val="00F46731"/>
    <w:rsid w:val="00F52B12"/>
    <w:rsid w:val="00F61941"/>
    <w:rsid w:val="00F6620A"/>
    <w:rsid w:val="00F706D4"/>
    <w:rsid w:val="00F863F3"/>
    <w:rsid w:val="00FA0F92"/>
    <w:rsid w:val="00FD3AA1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8FC22A9"/>
  <w15:docId w15:val="{AF89E019-FB48-4321-B67A-96F3DC7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G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C6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7F2E49"/>
    <w:pPr>
      <w:ind w:left="102"/>
      <w:outlineLvl w:val="0"/>
    </w:pPr>
    <w:rPr>
      <w:rFonts w:ascii="Calibri" w:eastAsia="Calibri" w:hAnsi="Calibri" w:cs="Calibri"/>
      <w:b/>
      <w:bCs/>
      <w:u w:val="single" w:color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7F2E49"/>
    <w:pPr>
      <w:spacing w:before="96"/>
      <w:ind w:left="692" w:right="715" w:firstLine="57"/>
      <w:jc w:val="both"/>
    </w:pPr>
    <w:rPr>
      <w:rFonts w:ascii="Calibri" w:eastAsia="Calibri" w:hAnsi="Calibri" w:cs="Calibri"/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3C07C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07C6"/>
  </w:style>
  <w:style w:type="paragraph" w:styleId="Prrafodelista">
    <w:name w:val="List Paragraph"/>
    <w:basedOn w:val="Normal"/>
    <w:uiPriority w:val="34"/>
    <w:qFormat/>
    <w:rsid w:val="00934A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54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4D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54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D6"/>
    <w:rPr>
      <w:rFonts w:ascii="Arial" w:eastAsia="Arial" w:hAnsi="Arial" w:cs="Arial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F2E49"/>
    <w:rPr>
      <w:rFonts w:ascii="Calibri" w:eastAsia="Calibri" w:hAnsi="Calibri" w:cs="Calibri"/>
      <w:b/>
      <w:bCs/>
      <w:sz w:val="32"/>
      <w:szCs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F2E49"/>
    <w:rPr>
      <w:rFonts w:ascii="Calibri" w:eastAsia="Calibri" w:hAnsi="Calibri" w:cs="Calibri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F2E49"/>
    <w:pPr>
      <w:ind w:left="821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2E49"/>
    <w:rPr>
      <w:rFonts w:ascii="Century Gothic" w:eastAsia="Century Gothic" w:hAnsi="Century Gothic" w:cs="Century Gothic"/>
      <w:lang w:val="es-ES"/>
    </w:rPr>
  </w:style>
  <w:style w:type="table" w:styleId="Tablaconcuadrcula">
    <w:name w:val="Table Grid"/>
    <w:basedOn w:val="Tablanormal"/>
    <w:uiPriority w:val="59"/>
    <w:rsid w:val="00687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61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61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3696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F1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0PWk+Sm/or5qlK1G6p0N7BPAA==">CgMxLjAyCGguZ2pkZ3hzOAByITF2T3V6QVhSbU9Xckw4VkFZMktiMkdjLVBXa20zVzZ1Tw==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3CC098-874D-4C5D-9F5E-31EEEE00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Nathanael</dc:creator>
  <cp:lastModifiedBy>David Antonio Briones Morales</cp:lastModifiedBy>
  <cp:revision>21</cp:revision>
  <cp:lastPrinted>2023-09-20T10:22:00Z</cp:lastPrinted>
  <dcterms:created xsi:type="dcterms:W3CDTF">2023-09-28T15:48:00Z</dcterms:created>
  <dcterms:modified xsi:type="dcterms:W3CDTF">2024-01-30T18:41:00Z</dcterms:modified>
</cp:coreProperties>
</file>